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74" w:rsidRPr="008F3574" w:rsidRDefault="008F3574" w:rsidP="008F3574">
      <w:pPr>
        <w:pStyle w:val="Web"/>
        <w:spacing w:before="0" w:beforeAutospacing="0" w:after="0" w:afterAutospacing="0"/>
        <w:ind w:left="1225" w:hanging="1225"/>
        <w:jc w:val="center"/>
        <w:rPr>
          <w:rFonts w:ascii="Times New Roman" w:hAnsi="Times New Roman" w:cs="Times New Roman"/>
        </w:rPr>
      </w:pPr>
      <w:r w:rsidRPr="008F3574">
        <w:rPr>
          <w:rFonts w:ascii="Times New Roman" w:hAnsi="Times New Roman" w:cs="Times New Roman"/>
          <w:b/>
          <w:bCs/>
        </w:rPr>
        <w:t>Regulations for the Application and Governance of Taichung City Chung Shan Hall</w:t>
      </w:r>
    </w:p>
    <w:p w:rsidR="008F3574" w:rsidRPr="008F3574" w:rsidRDefault="008F3574" w:rsidP="008F3574">
      <w:pPr>
        <w:jc w:val="center"/>
        <w:rPr>
          <w:b/>
        </w:rPr>
      </w:pPr>
    </w:p>
    <w:p w:rsidR="008F3574" w:rsidRPr="008F3574" w:rsidRDefault="008F3574" w:rsidP="008F3574">
      <w:pPr>
        <w:spacing w:line="400" w:lineRule="exact"/>
        <w:ind w:firstLineChars="1600" w:firstLine="3840"/>
        <w:jc w:val="right"/>
        <w:rPr>
          <w:spacing w:val="-10"/>
        </w:rPr>
      </w:pPr>
      <w:r w:rsidRPr="008F3574">
        <w:t>Promulgation No.1000036530 Decree dated March 7, 2011</w:t>
      </w:r>
    </w:p>
    <w:p w:rsidR="008F3574" w:rsidRPr="008F3574" w:rsidRDefault="008F3574" w:rsidP="008F3574">
      <w:pPr>
        <w:spacing w:line="400" w:lineRule="exact"/>
        <w:ind w:firstLineChars="1600" w:firstLine="3840"/>
        <w:jc w:val="right"/>
        <w:rPr>
          <w:spacing w:val="-10"/>
        </w:rPr>
      </w:pPr>
      <w:r w:rsidRPr="008F3574">
        <w:t>Promulgation</w:t>
      </w:r>
      <w:r w:rsidRPr="008F3574">
        <w:rPr>
          <w:strike/>
        </w:rPr>
        <w:t xml:space="preserve"> </w:t>
      </w:r>
      <w:r w:rsidRPr="008F3574">
        <w:t>No.1060228456 Decree dated October 19, 2017</w:t>
      </w:r>
    </w:p>
    <w:tbl>
      <w:tblPr>
        <w:tblpPr w:leftFromText="180" w:rightFromText="180" w:vertAnchor="text" w:tblpY="1"/>
        <w:tblOverlap w:val="never"/>
        <w:tblW w:w="10740" w:type="dxa"/>
        <w:tblLook w:val="01E0" w:firstRow="1" w:lastRow="1" w:firstColumn="1" w:lastColumn="1" w:noHBand="0" w:noVBand="0"/>
      </w:tblPr>
      <w:tblGrid>
        <w:gridCol w:w="10740"/>
      </w:tblGrid>
      <w:tr w:rsidR="008F3574" w:rsidRPr="008F3574" w:rsidTr="002F2A97">
        <w:tc>
          <w:tcPr>
            <w:tcW w:w="10740" w:type="dxa"/>
          </w:tcPr>
          <w:p w:rsidR="008F3574" w:rsidRPr="008F3574" w:rsidRDefault="008F3574" w:rsidP="002F2A97">
            <w:pPr>
              <w:ind w:left="1111" w:rightChars="-39" w:right="-94" w:hangingChars="463" w:hanging="1111"/>
              <w:jc w:val="both"/>
            </w:pPr>
            <w:r w:rsidRPr="008F3574">
              <w:t xml:space="preserve">Article 1 </w:t>
            </w:r>
            <w:r w:rsidRPr="008F3574">
              <w:tab/>
              <w:t>Taichung City Government (hereinafter referred to as the “Government”) has established these Regulations (hereinafter referred to as the “Regulations”) to promote cultural or artistic events, and enhance the functions of Taichung City Chung Shan Hall (hereinafter referred to as the “</w:t>
            </w:r>
            <w:r w:rsidRPr="008F3574">
              <w:rPr>
                <w:rFonts w:hint="eastAsia"/>
              </w:rPr>
              <w:t>H</w:t>
            </w:r>
            <w:r w:rsidRPr="008F3574">
              <w:t>all”).</w:t>
            </w:r>
          </w:p>
          <w:p w:rsidR="008F3574" w:rsidRPr="008F3574" w:rsidRDefault="008F3574" w:rsidP="002F2A97">
            <w:pPr>
              <w:pStyle w:val="Web"/>
              <w:spacing w:before="0" w:beforeAutospacing="0" w:after="0" w:afterAutospacing="0"/>
              <w:rPr>
                <w:rFonts w:ascii="Times New Roman" w:hAnsi="Times New Roman" w:cs="Times New Roman"/>
              </w:rPr>
            </w:pPr>
          </w:p>
        </w:tc>
      </w:tr>
      <w:tr w:rsidR="008F3574" w:rsidRPr="008F3574" w:rsidTr="002F2A97">
        <w:tc>
          <w:tcPr>
            <w:tcW w:w="10740" w:type="dxa"/>
          </w:tcPr>
          <w:p w:rsidR="008F3574" w:rsidRPr="008F3574" w:rsidRDefault="008F3574" w:rsidP="002F2A97">
            <w:pPr>
              <w:ind w:left="991" w:rightChars="-39" w:right="-94" w:hangingChars="413" w:hanging="991"/>
              <w:jc w:val="both"/>
            </w:pPr>
            <w:r w:rsidRPr="008F3574">
              <w:t xml:space="preserve">Article 2 </w:t>
            </w:r>
            <w:r w:rsidRPr="008F3574">
              <w:tab/>
              <w:t>The competent authority for these Regulations is Taichung City Government Cultural Affairs Bureau (hereinafter referred to as the “Bureau”).</w:t>
            </w:r>
          </w:p>
          <w:p w:rsidR="008F3574" w:rsidRPr="008F3574" w:rsidRDefault="008F3574" w:rsidP="002F2A97">
            <w:pPr>
              <w:ind w:left="991" w:rightChars="-39" w:right="-94" w:hangingChars="413" w:hanging="991"/>
              <w:jc w:val="both"/>
            </w:pPr>
          </w:p>
        </w:tc>
      </w:tr>
      <w:tr w:rsidR="008F3574" w:rsidRPr="00BA3957" w:rsidTr="002F2A97">
        <w:tc>
          <w:tcPr>
            <w:tcW w:w="10740" w:type="dxa"/>
          </w:tcPr>
          <w:p w:rsidR="008F3574" w:rsidRPr="008F3574" w:rsidRDefault="008F3574" w:rsidP="002F2A97">
            <w:pPr>
              <w:ind w:left="991" w:rightChars="-39" w:right="-94" w:hangingChars="413" w:hanging="991"/>
              <w:jc w:val="both"/>
            </w:pPr>
            <w:r w:rsidRPr="008F3574">
              <w:t xml:space="preserve">Article 3 </w:t>
            </w:r>
            <w:r w:rsidRPr="008F3574">
              <w:tab/>
              <w:t xml:space="preserve">Government agencies, schools, legal entities, civil organizations or individuals intending to hold cultural or artistic (such as musical, dramatic, choreographic and acrobatic) events may submit applications to the Bureau for </w:t>
            </w:r>
            <w:r w:rsidRPr="008F3574">
              <w:rPr>
                <w:rFonts w:hint="eastAsia"/>
              </w:rPr>
              <w:t>usage</w:t>
            </w:r>
            <w:r w:rsidRPr="008F3574">
              <w:t xml:space="preserve"> of </w:t>
            </w:r>
            <w:r w:rsidRPr="008F3574">
              <w:rPr>
                <w:rFonts w:hint="eastAsia"/>
              </w:rPr>
              <w:t>t</w:t>
            </w:r>
            <w:r w:rsidRPr="008F3574">
              <w:t>he Hall.</w:t>
            </w:r>
          </w:p>
          <w:p w:rsidR="008F3574" w:rsidRPr="008F3574" w:rsidRDefault="008F3574" w:rsidP="002F2A97">
            <w:pPr>
              <w:ind w:leftChars="413" w:left="991" w:rightChars="-39" w:right="-94"/>
              <w:jc w:val="both"/>
            </w:pPr>
            <w:r w:rsidRPr="008F3574">
              <w:t xml:space="preserve">Thirty percent (30%) of all available time slots at the Hall have been reserved by the Government </w:t>
            </w:r>
            <w:r w:rsidRPr="008F3574">
              <w:rPr>
                <w:rFonts w:hint="eastAsia"/>
              </w:rPr>
              <w:t>for</w:t>
            </w:r>
            <w:r w:rsidRPr="008F3574">
              <w:t xml:space="preserve"> </w:t>
            </w:r>
            <w:r w:rsidRPr="008F3574">
              <w:rPr>
                <w:rFonts w:hint="eastAsia"/>
              </w:rPr>
              <w:t xml:space="preserve">administrative </w:t>
            </w:r>
            <w:r w:rsidRPr="008F3574">
              <w:t xml:space="preserve">agencies, schools and </w:t>
            </w:r>
            <w:r w:rsidRPr="008F3574">
              <w:rPr>
                <w:rFonts w:hint="eastAsia"/>
              </w:rPr>
              <w:t xml:space="preserve">registered </w:t>
            </w:r>
            <w:r w:rsidRPr="008F3574">
              <w:t>perform</w:t>
            </w:r>
            <w:r w:rsidRPr="008F3574">
              <w:rPr>
                <w:rFonts w:hint="eastAsia"/>
              </w:rPr>
              <w:t>ing</w:t>
            </w:r>
            <w:r w:rsidRPr="008F3574">
              <w:t xml:space="preserve"> groups </w:t>
            </w:r>
            <w:r w:rsidRPr="008F3574">
              <w:rPr>
                <w:rFonts w:hint="eastAsia"/>
              </w:rPr>
              <w:t>of</w:t>
            </w:r>
            <w:r w:rsidRPr="008F3574">
              <w:t xml:space="preserve">  Taichung City (hereinafter referred to as the "City"). Schools and </w:t>
            </w:r>
            <w:r w:rsidRPr="008F3574">
              <w:rPr>
                <w:rFonts w:hint="eastAsia"/>
              </w:rPr>
              <w:t xml:space="preserve">registered </w:t>
            </w:r>
            <w:r w:rsidRPr="008F3574">
              <w:t>perform</w:t>
            </w:r>
            <w:r w:rsidRPr="008F3574">
              <w:rPr>
                <w:rFonts w:hint="eastAsia"/>
              </w:rPr>
              <w:t>ing</w:t>
            </w:r>
            <w:r w:rsidRPr="008F3574">
              <w:t xml:space="preserve"> groups shall </w:t>
            </w:r>
            <w:r w:rsidRPr="008F3574">
              <w:rPr>
                <w:rFonts w:hint="eastAsia"/>
              </w:rPr>
              <w:t xml:space="preserve">nevertheless </w:t>
            </w:r>
            <w:r w:rsidRPr="008F3574">
              <w:t>submit applications in accordance with these Regulations.</w:t>
            </w:r>
          </w:p>
          <w:p w:rsidR="008F3574" w:rsidRPr="00BA3957" w:rsidRDefault="008F3574" w:rsidP="002F2A97">
            <w:pPr>
              <w:ind w:leftChars="413" w:left="991" w:rightChars="-39" w:right="-94"/>
              <w:jc w:val="both"/>
              <w:rPr>
                <w:color w:val="000000"/>
              </w:rPr>
            </w:pPr>
          </w:p>
        </w:tc>
      </w:tr>
      <w:tr w:rsidR="008F3574" w:rsidRPr="00BA3957" w:rsidTr="002F2A97">
        <w:trPr>
          <w:trHeight w:val="309"/>
        </w:trPr>
        <w:tc>
          <w:tcPr>
            <w:tcW w:w="10740" w:type="dxa"/>
          </w:tcPr>
          <w:p w:rsidR="008F3574" w:rsidRPr="008F3574" w:rsidRDefault="008F3574" w:rsidP="002F2A97">
            <w:pPr>
              <w:ind w:left="991" w:rightChars="-39" w:right="-94" w:hangingChars="413" w:hanging="991"/>
              <w:jc w:val="both"/>
            </w:pPr>
            <w:r w:rsidRPr="008F3574">
              <w:t xml:space="preserve">Article 4 </w:t>
            </w:r>
            <w:r w:rsidRPr="008F3574">
              <w:tab/>
              <w:t>Applicants shall fill out a Chung Shan Hall Performance Event Application Form and submit it to the Bureau before the deadlines listed below:</w:t>
            </w:r>
          </w:p>
          <w:p w:rsidR="008F3574" w:rsidRPr="008F3574" w:rsidRDefault="008F3574" w:rsidP="002F2A97">
            <w:pPr>
              <w:numPr>
                <w:ilvl w:val="0"/>
                <w:numId w:val="2"/>
              </w:numPr>
              <w:ind w:rightChars="-39" w:right="-94" w:hanging="447"/>
            </w:pPr>
            <w:r w:rsidRPr="008F3574">
              <w:t>Applications for time slots in January to June of the following year shall be made in January of this year.</w:t>
            </w:r>
          </w:p>
          <w:p w:rsidR="008F3574" w:rsidRPr="008F3574" w:rsidRDefault="008F3574" w:rsidP="002F2A97">
            <w:pPr>
              <w:numPr>
                <w:ilvl w:val="0"/>
                <w:numId w:val="2"/>
              </w:numPr>
              <w:ind w:rightChars="-39" w:right="-94" w:hanging="447"/>
            </w:pPr>
            <w:r w:rsidRPr="008F3574">
              <w:t>Applications for time slots in July to December of the following year shall be made in July of this year.</w:t>
            </w:r>
          </w:p>
          <w:p w:rsidR="008F3574" w:rsidRPr="00BA3957" w:rsidRDefault="008F3574" w:rsidP="002F2A97">
            <w:pPr>
              <w:ind w:rightChars="-39" w:right="-94"/>
              <w:rPr>
                <w:color w:val="000000"/>
              </w:rPr>
            </w:pPr>
            <w:bookmarkStart w:id="0" w:name="_GoBack"/>
            <w:bookmarkEnd w:id="0"/>
          </w:p>
        </w:tc>
      </w:tr>
      <w:tr w:rsidR="008F3574" w:rsidRPr="00BA3957" w:rsidTr="002F2A97">
        <w:trPr>
          <w:trHeight w:val="529"/>
        </w:trPr>
        <w:tc>
          <w:tcPr>
            <w:tcW w:w="10740" w:type="dxa"/>
          </w:tcPr>
          <w:p w:rsidR="008F3574" w:rsidRPr="008F3574" w:rsidRDefault="008F3574" w:rsidP="002F2A97">
            <w:pPr>
              <w:ind w:left="991" w:rightChars="-39" w:right="-94" w:hangingChars="413" w:hanging="991"/>
              <w:jc w:val="both"/>
            </w:pPr>
            <w:r w:rsidRPr="00BA3957">
              <w:rPr>
                <w:color w:val="000000"/>
              </w:rPr>
              <w:t xml:space="preserve">Article 5 </w:t>
            </w:r>
            <w:r w:rsidRPr="00BA3957">
              <w:rPr>
                <w:color w:val="000000"/>
              </w:rPr>
              <w:tab/>
            </w:r>
            <w:r w:rsidRPr="008F3574">
              <w:t xml:space="preserve">The Bureau shall </w:t>
            </w:r>
            <w:r w:rsidRPr="008F3574">
              <w:rPr>
                <w:rFonts w:hint="eastAsia"/>
              </w:rPr>
              <w:t>organize</w:t>
            </w:r>
            <w:r w:rsidRPr="008F3574">
              <w:t xml:space="preserve"> a review committee comprised of experts and scholars to review the applications; the directions for such review operations shall be </w:t>
            </w:r>
            <w:r w:rsidRPr="008F3574">
              <w:rPr>
                <w:rFonts w:hint="eastAsia"/>
              </w:rPr>
              <w:t>issued</w:t>
            </w:r>
            <w:r w:rsidRPr="008F3574">
              <w:t xml:space="preserve"> by the Bureau.</w:t>
            </w:r>
          </w:p>
          <w:p w:rsidR="008F3574" w:rsidRPr="008F3574" w:rsidRDefault="008F3574" w:rsidP="002F2A97">
            <w:pPr>
              <w:ind w:leftChars="413" w:left="991" w:rightChars="-39" w:right="-94"/>
              <w:jc w:val="both"/>
            </w:pPr>
            <w:r w:rsidRPr="008F3574">
              <w:t>Every February, the committee will review the applications for events scheduled for January to June of the following year; every August, the committee will review the applications for events scheduled for July to December of the following year.</w:t>
            </w:r>
          </w:p>
          <w:p w:rsidR="008F3574" w:rsidRPr="008F3574" w:rsidRDefault="008F3574" w:rsidP="002F2A97">
            <w:pPr>
              <w:ind w:leftChars="413" w:left="991" w:rightChars="-39" w:right="-94"/>
              <w:jc w:val="both"/>
            </w:pPr>
            <w:r w:rsidRPr="008F3574">
              <w:t>Once the applications have been reviewed and a</w:t>
            </w:r>
            <w:r w:rsidRPr="00991002">
              <w:t xml:space="preserve">pproved </w:t>
            </w:r>
            <w:r w:rsidR="00B176E5" w:rsidRPr="00991002">
              <w:t>a</w:t>
            </w:r>
            <w:r w:rsidR="00B176E5" w:rsidRPr="00991002">
              <w:rPr>
                <w:rFonts w:hint="eastAsia"/>
              </w:rPr>
              <w:t>ccording</w:t>
            </w:r>
            <w:r w:rsidR="00B176E5" w:rsidRPr="00991002">
              <w:t xml:space="preserve"> </w:t>
            </w:r>
            <w:r w:rsidR="00B176E5" w:rsidRPr="00991002">
              <w:rPr>
                <w:rFonts w:hint="eastAsia"/>
              </w:rPr>
              <w:t>to</w:t>
            </w:r>
            <w:r w:rsidR="00B176E5" w:rsidRPr="00991002">
              <w:t xml:space="preserve"> </w:t>
            </w:r>
            <w:r w:rsidR="00B176E5" w:rsidRPr="00991002">
              <w:rPr>
                <w:rFonts w:hint="eastAsia"/>
              </w:rPr>
              <w:t>category</w:t>
            </w:r>
            <w:r w:rsidR="00B176E5" w:rsidRPr="00991002">
              <w:t xml:space="preserve"> </w:t>
            </w:r>
            <w:r w:rsidRPr="00991002">
              <w:t xml:space="preserve">by the committee, scheduling priority and waiting list sequence shall be determined based on the evaluation scores of </w:t>
            </w:r>
            <w:r w:rsidRPr="00991002">
              <w:rPr>
                <w:rFonts w:hint="eastAsia"/>
              </w:rPr>
              <w:t>applications</w:t>
            </w:r>
            <w:r w:rsidRPr="00991002">
              <w:t>, percentage of</w:t>
            </w:r>
            <w:r w:rsidR="00B176E5" w:rsidRPr="00991002">
              <w:t xml:space="preserve"> application</w:t>
            </w:r>
            <w:r w:rsidR="00B176E5" w:rsidRPr="00991002">
              <w:rPr>
                <w:rFonts w:hint="eastAsia"/>
              </w:rPr>
              <w:t>s</w:t>
            </w:r>
            <w:r w:rsidRPr="00991002">
              <w:t>, and applicant</w:t>
            </w:r>
            <w:r w:rsidRPr="00991002">
              <w:rPr>
                <w:rFonts w:hint="eastAsia"/>
              </w:rPr>
              <w:t>s</w:t>
            </w:r>
            <w:r w:rsidRPr="00991002">
              <w:t>’</w:t>
            </w:r>
            <w:r w:rsidRPr="00991002">
              <w:rPr>
                <w:rFonts w:hint="eastAsia"/>
              </w:rPr>
              <w:t xml:space="preserve"> own</w:t>
            </w:r>
            <w:r w:rsidRPr="00991002">
              <w:t xml:space="preserve"> preference. </w:t>
            </w:r>
            <w:r w:rsidRPr="00991002">
              <w:rPr>
                <w:rFonts w:hint="eastAsia"/>
              </w:rPr>
              <w:t xml:space="preserve">And </w:t>
            </w:r>
            <w:r w:rsidRPr="00991002">
              <w:t xml:space="preserve">after </w:t>
            </w:r>
            <w:r w:rsidRPr="00991002">
              <w:rPr>
                <w:rFonts w:hint="eastAsia"/>
              </w:rPr>
              <w:t xml:space="preserve">the </w:t>
            </w:r>
            <w:r w:rsidRPr="00991002">
              <w:t xml:space="preserve">applicants on the waiting list are fully allocated, the Bureau may </w:t>
            </w:r>
            <w:r w:rsidRPr="00991002">
              <w:rPr>
                <w:rFonts w:hint="eastAsia"/>
              </w:rPr>
              <w:t>announce</w:t>
            </w:r>
            <w:r w:rsidRPr="00991002">
              <w:t xml:space="preserve"> the available time slots and</w:t>
            </w:r>
            <w:r w:rsidR="002F2A97" w:rsidRPr="00991002">
              <w:rPr>
                <w:rFonts w:hint="eastAsia"/>
              </w:rPr>
              <w:t xml:space="preserve"> </w:t>
            </w:r>
            <w:r w:rsidRPr="00991002">
              <w:t xml:space="preserve">accept </w:t>
            </w:r>
            <w:r w:rsidRPr="00991002">
              <w:rPr>
                <w:rFonts w:hint="eastAsia"/>
              </w:rPr>
              <w:t xml:space="preserve">new </w:t>
            </w:r>
            <w:r w:rsidRPr="00991002">
              <w:t xml:space="preserve">applications </w:t>
            </w:r>
            <w:r w:rsidR="00B176E5" w:rsidRPr="00991002">
              <w:rPr>
                <w:rFonts w:hint="eastAsia"/>
              </w:rPr>
              <w:t>together</w:t>
            </w:r>
            <w:r w:rsidR="00B176E5" w:rsidRPr="00991002">
              <w:t xml:space="preserve"> </w:t>
            </w:r>
            <w:r w:rsidR="00B176E5" w:rsidRPr="00991002">
              <w:rPr>
                <w:rFonts w:hint="eastAsia"/>
              </w:rPr>
              <w:t>with</w:t>
            </w:r>
            <w:r w:rsidR="003F3611" w:rsidRPr="00991002">
              <w:rPr>
                <w:rFonts w:hint="eastAsia"/>
              </w:rPr>
              <w:t xml:space="preserve"> </w:t>
            </w:r>
            <w:r w:rsidR="00B176E5" w:rsidRPr="00991002">
              <w:rPr>
                <w:rFonts w:hint="eastAsia"/>
              </w:rPr>
              <w:t>nex</w:t>
            </w:r>
            <w:r w:rsidR="003F3611" w:rsidRPr="00991002">
              <w:rPr>
                <w:rFonts w:hint="eastAsia"/>
              </w:rPr>
              <w:t>t</w:t>
            </w:r>
            <w:r w:rsidR="003F3611" w:rsidRPr="00991002">
              <w:t xml:space="preserve"> </w:t>
            </w:r>
            <w:r w:rsidR="003F3611" w:rsidRPr="00991002">
              <w:rPr>
                <w:rFonts w:hint="eastAsia"/>
              </w:rPr>
              <w:t>year</w:t>
            </w:r>
            <w:r w:rsidR="003F3611" w:rsidRPr="00991002">
              <w:t>’</w:t>
            </w:r>
            <w:r w:rsidR="003F3611" w:rsidRPr="00991002">
              <w:rPr>
                <w:rFonts w:hint="eastAsia"/>
              </w:rPr>
              <w:t>s</w:t>
            </w:r>
            <w:r w:rsidR="003F3611" w:rsidRPr="00991002">
              <w:t xml:space="preserve"> committee </w:t>
            </w:r>
            <w:r w:rsidR="003F3611" w:rsidRPr="00991002">
              <w:rPr>
                <w:rFonts w:hint="eastAsia"/>
              </w:rPr>
              <w:t xml:space="preserve">session </w:t>
            </w:r>
            <w:r w:rsidRPr="00991002">
              <w:t>or special</w:t>
            </w:r>
            <w:r w:rsidRPr="008F3574">
              <w:t xml:space="preserve"> </w:t>
            </w:r>
            <w:r w:rsidRPr="008F3574">
              <w:rPr>
                <w:rFonts w:hint="eastAsia"/>
              </w:rPr>
              <w:t>projects</w:t>
            </w:r>
            <w:r w:rsidRPr="002F2A97">
              <w:t>, which</w:t>
            </w:r>
            <w:r w:rsidR="003F3611" w:rsidRPr="002F2A97">
              <w:t xml:space="preserve"> </w:t>
            </w:r>
            <w:r w:rsidRPr="002F2A97">
              <w:t>shall not b</w:t>
            </w:r>
            <w:r w:rsidRPr="008F3574">
              <w:t>e restrict</w:t>
            </w:r>
            <w:r w:rsidRPr="008F3574">
              <w:rPr>
                <w:rFonts w:hint="eastAsia"/>
              </w:rPr>
              <w:t>ed</w:t>
            </w:r>
            <w:r w:rsidRPr="008F3574">
              <w:t xml:space="preserve"> </w:t>
            </w:r>
            <w:r w:rsidRPr="008F3574">
              <w:rPr>
                <w:rFonts w:hint="eastAsia"/>
              </w:rPr>
              <w:t xml:space="preserve">to the </w:t>
            </w:r>
            <w:r w:rsidRPr="008F3574">
              <w:t>applica</w:t>
            </w:r>
            <w:r w:rsidRPr="008F3574">
              <w:rPr>
                <w:rFonts w:hint="eastAsia"/>
              </w:rPr>
              <w:t>nt</w:t>
            </w:r>
            <w:r w:rsidRPr="008F3574">
              <w:t xml:space="preserve"> period in the preceding article. </w:t>
            </w:r>
            <w:r w:rsidRPr="008F3574">
              <w:rPr>
                <w:rFonts w:hint="eastAsia"/>
              </w:rPr>
              <w:t>These a</w:t>
            </w:r>
            <w:r w:rsidRPr="008F3574">
              <w:t xml:space="preserve">pplications may only be accepted </w:t>
            </w:r>
            <w:r w:rsidRPr="008F3574">
              <w:rPr>
                <w:rFonts w:hint="eastAsia"/>
              </w:rPr>
              <w:t>once</w:t>
            </w:r>
            <w:r w:rsidRPr="008F3574">
              <w:t xml:space="preserve"> they are filed ninety (90) days before the performance date.</w:t>
            </w:r>
          </w:p>
          <w:p w:rsidR="008F3574" w:rsidRPr="00BA3957" w:rsidRDefault="008F3574" w:rsidP="002F2A97">
            <w:pPr>
              <w:ind w:leftChars="413" w:left="991" w:rightChars="-39" w:right="-94"/>
              <w:jc w:val="both"/>
              <w:rPr>
                <w:color w:val="000000"/>
              </w:rPr>
            </w:pPr>
          </w:p>
        </w:tc>
      </w:tr>
      <w:tr w:rsidR="008F3574" w:rsidRPr="00BA3957" w:rsidTr="002F2A97">
        <w:trPr>
          <w:trHeight w:val="535"/>
        </w:trPr>
        <w:tc>
          <w:tcPr>
            <w:tcW w:w="10740" w:type="dxa"/>
          </w:tcPr>
          <w:p w:rsidR="008F3574" w:rsidRPr="00B41ACE" w:rsidRDefault="008F3574" w:rsidP="002F2A97">
            <w:pPr>
              <w:ind w:left="991" w:rightChars="-39" w:right="-94" w:hangingChars="413" w:hanging="991"/>
              <w:jc w:val="both"/>
            </w:pPr>
            <w:r w:rsidRPr="00BA3957">
              <w:rPr>
                <w:color w:val="000000"/>
              </w:rPr>
              <w:t xml:space="preserve">Article 6 </w:t>
            </w:r>
            <w:r w:rsidRPr="00BA3957">
              <w:rPr>
                <w:color w:val="000000"/>
              </w:rPr>
              <w:tab/>
            </w:r>
            <w:r w:rsidRPr="00B41ACE">
              <w:rPr>
                <w:rFonts w:hint="eastAsia"/>
              </w:rPr>
              <w:t>A</w:t>
            </w:r>
            <w:r w:rsidRPr="00B41ACE">
              <w:t>pplicants shall confirm all items and period of use</w:t>
            </w:r>
            <w:r w:rsidRPr="00B41ACE">
              <w:rPr>
                <w:rFonts w:hint="eastAsia"/>
              </w:rPr>
              <w:t xml:space="preserve"> of the application</w:t>
            </w:r>
            <w:r w:rsidRPr="00B41ACE">
              <w:t xml:space="preserve">, and pay </w:t>
            </w:r>
            <w:r w:rsidRPr="00B41ACE">
              <w:rPr>
                <w:rFonts w:hint="eastAsia"/>
              </w:rPr>
              <w:t>forty percent (</w:t>
            </w:r>
            <w:r w:rsidRPr="00B41ACE">
              <w:t>40%</w:t>
            </w:r>
            <w:r w:rsidRPr="00B41ACE">
              <w:rPr>
                <w:rFonts w:hint="eastAsia"/>
              </w:rPr>
              <w:t>)</w:t>
            </w:r>
            <w:r w:rsidRPr="00B41ACE">
              <w:t xml:space="preserve"> of the </w:t>
            </w:r>
            <w:r w:rsidRPr="00B41ACE">
              <w:rPr>
                <w:rFonts w:hint="eastAsia"/>
              </w:rPr>
              <w:t>total fees within two months after the designated schedule announcement.</w:t>
            </w:r>
            <w:r w:rsidRPr="00B41ACE">
              <w:t xml:space="preserve"> The applicants who fail to confirm items</w:t>
            </w:r>
            <w:r w:rsidRPr="00B41ACE">
              <w:rPr>
                <w:rFonts w:hint="eastAsia"/>
              </w:rPr>
              <w:t>,</w:t>
            </w:r>
            <w:r w:rsidRPr="00B41ACE">
              <w:t xml:space="preserve"> period of us</w:t>
            </w:r>
            <w:r w:rsidR="00B41ACE">
              <w:rPr>
                <w:rFonts w:hint="eastAsia"/>
              </w:rPr>
              <w:t>ag</w:t>
            </w:r>
            <w:r w:rsidRPr="00B41ACE">
              <w:t xml:space="preserve">e or </w:t>
            </w:r>
            <w:r w:rsidR="00B41ACE">
              <w:rPr>
                <w:rFonts w:hint="eastAsia"/>
              </w:rPr>
              <w:t>payment of fees</w:t>
            </w:r>
            <w:r w:rsidRPr="00B41ACE">
              <w:t xml:space="preserve"> before the deadline shall be deemed to </w:t>
            </w:r>
            <w:r w:rsidR="00B41ACE">
              <w:rPr>
                <w:rFonts w:hint="eastAsia"/>
              </w:rPr>
              <w:t>give up</w:t>
            </w:r>
            <w:r w:rsidRPr="00B41ACE">
              <w:rPr>
                <w:rFonts w:hint="eastAsia"/>
              </w:rPr>
              <w:t xml:space="preserve"> the usage of venue.</w:t>
            </w:r>
          </w:p>
          <w:p w:rsidR="008F3574" w:rsidRPr="00B41ACE" w:rsidRDefault="008F3574" w:rsidP="002F2A97">
            <w:pPr>
              <w:ind w:leftChars="413" w:left="991" w:rightChars="-39" w:right="-94"/>
              <w:jc w:val="both"/>
            </w:pPr>
            <w:r w:rsidRPr="00B41ACE">
              <w:t xml:space="preserve">The applicants shall pay </w:t>
            </w:r>
            <w:r w:rsidRPr="00B41ACE">
              <w:rPr>
                <w:rFonts w:hint="eastAsia"/>
              </w:rPr>
              <w:t>the rest (60</w:t>
            </w:r>
            <w:r w:rsidRPr="00B41ACE">
              <w:t>%</w:t>
            </w:r>
            <w:r w:rsidRPr="00B41ACE">
              <w:rPr>
                <w:rFonts w:hint="eastAsia"/>
              </w:rPr>
              <w:t xml:space="preserve">) of the </w:t>
            </w:r>
            <w:r w:rsidRPr="00B41ACE">
              <w:t xml:space="preserve">fees and </w:t>
            </w:r>
            <w:r w:rsidRPr="00B41ACE">
              <w:rPr>
                <w:rFonts w:hint="eastAsia"/>
              </w:rPr>
              <w:t>complete an</w:t>
            </w:r>
            <w:r w:rsidRPr="00B41ACE">
              <w:t xml:space="preserve"> agreement </w:t>
            </w:r>
            <w:r w:rsidRPr="00B41ACE">
              <w:rPr>
                <w:rFonts w:hint="eastAsia"/>
              </w:rPr>
              <w:t xml:space="preserve">of usage </w:t>
            </w:r>
            <w:r w:rsidRPr="00B41ACE">
              <w:t>with the</w:t>
            </w:r>
            <w:r w:rsidRPr="00B41ACE">
              <w:rPr>
                <w:strike/>
              </w:rPr>
              <w:t xml:space="preserve"> </w:t>
            </w:r>
            <w:r w:rsidRPr="00B41ACE">
              <w:t xml:space="preserve">Bureau one month before </w:t>
            </w:r>
            <w:r w:rsidRPr="00B41ACE">
              <w:rPr>
                <w:rFonts w:hint="eastAsia"/>
              </w:rPr>
              <w:t xml:space="preserve">the actual date of </w:t>
            </w:r>
            <w:r w:rsidRPr="00B41ACE">
              <w:t>us</w:t>
            </w:r>
            <w:r w:rsidRPr="00B41ACE">
              <w:rPr>
                <w:rFonts w:hint="eastAsia"/>
              </w:rPr>
              <w:t>age</w:t>
            </w:r>
            <w:r w:rsidRPr="00B41ACE">
              <w:t>.</w:t>
            </w:r>
          </w:p>
          <w:p w:rsidR="008F3574" w:rsidRPr="00BA3957" w:rsidRDefault="008F3574" w:rsidP="002F2A97">
            <w:pPr>
              <w:ind w:leftChars="413" w:left="991" w:rightChars="-39" w:right="-94"/>
              <w:jc w:val="both"/>
              <w:rPr>
                <w:color w:val="000000"/>
              </w:rPr>
            </w:pPr>
          </w:p>
        </w:tc>
      </w:tr>
      <w:tr w:rsidR="008F3574" w:rsidRPr="00BA3957" w:rsidTr="002F2A97">
        <w:trPr>
          <w:trHeight w:val="535"/>
        </w:trPr>
        <w:tc>
          <w:tcPr>
            <w:tcW w:w="10740" w:type="dxa"/>
          </w:tcPr>
          <w:p w:rsidR="008F3574" w:rsidRPr="00BA3957" w:rsidRDefault="008F3574" w:rsidP="002F2A97">
            <w:pPr>
              <w:ind w:left="991" w:rightChars="-39" w:right="-94" w:hangingChars="413" w:hanging="991"/>
              <w:jc w:val="both"/>
              <w:rPr>
                <w:color w:val="000000"/>
              </w:rPr>
            </w:pPr>
            <w:r w:rsidRPr="00BA3957">
              <w:rPr>
                <w:color w:val="000000"/>
              </w:rPr>
              <w:t xml:space="preserve">Article 7 </w:t>
            </w:r>
            <w:r w:rsidRPr="00B41ACE">
              <w:rPr>
                <w:rFonts w:hint="eastAsia"/>
              </w:rPr>
              <w:t xml:space="preserve">Should </w:t>
            </w:r>
            <w:r w:rsidRPr="00B41ACE">
              <w:t xml:space="preserve">the applicants </w:t>
            </w:r>
            <w:r w:rsidRPr="00B41ACE">
              <w:rPr>
                <w:rFonts w:hint="eastAsia"/>
              </w:rPr>
              <w:t xml:space="preserve">abandon to </w:t>
            </w:r>
            <w:r w:rsidRPr="00B41ACE">
              <w:t xml:space="preserve">use the venue after </w:t>
            </w:r>
            <w:r w:rsidR="00B41ACE" w:rsidRPr="00B41ACE">
              <w:rPr>
                <w:rFonts w:hint="eastAsia"/>
              </w:rPr>
              <w:t>paying t</w:t>
            </w:r>
            <w:r w:rsidRPr="00B41ACE">
              <w:t xml:space="preserve">he fees referred to in the preceding article, </w:t>
            </w:r>
            <w:r w:rsidRPr="00B41ACE">
              <w:rPr>
                <w:rFonts w:hint="eastAsia"/>
              </w:rPr>
              <w:t>these</w:t>
            </w:r>
            <w:r w:rsidRPr="00B41ACE">
              <w:t xml:space="preserve"> fees will not be refunded except for force majeure or circumstances not attributable to the applicants.</w:t>
            </w:r>
          </w:p>
          <w:p w:rsidR="008F3574" w:rsidRPr="00BA3957" w:rsidRDefault="008F3574" w:rsidP="002F2A97">
            <w:pPr>
              <w:ind w:left="991" w:rightChars="-39" w:right="-94" w:hangingChars="413" w:hanging="991"/>
              <w:jc w:val="both"/>
              <w:rPr>
                <w:color w:val="000000"/>
              </w:rPr>
            </w:pPr>
          </w:p>
        </w:tc>
      </w:tr>
      <w:tr w:rsidR="008F3574" w:rsidRPr="00BA3957" w:rsidTr="002F2A97">
        <w:trPr>
          <w:trHeight w:val="344"/>
        </w:trPr>
        <w:tc>
          <w:tcPr>
            <w:tcW w:w="10740" w:type="dxa"/>
          </w:tcPr>
          <w:p w:rsidR="008F3574" w:rsidRPr="00BA3957" w:rsidRDefault="008F3574" w:rsidP="002F2A97">
            <w:pPr>
              <w:ind w:left="991" w:rightChars="-39" w:right="-94" w:hangingChars="413" w:hanging="991"/>
              <w:jc w:val="both"/>
              <w:rPr>
                <w:color w:val="000000"/>
              </w:rPr>
            </w:pPr>
            <w:r w:rsidRPr="00BA3957">
              <w:rPr>
                <w:color w:val="000000"/>
              </w:rPr>
              <w:t xml:space="preserve">Article 8 </w:t>
            </w:r>
            <w:r w:rsidRPr="00BA3957">
              <w:rPr>
                <w:color w:val="000000"/>
              </w:rPr>
              <w:tab/>
            </w:r>
            <w:r>
              <w:rPr>
                <w:rFonts w:hint="eastAsia"/>
                <w:color w:val="000000"/>
              </w:rPr>
              <w:t>N</w:t>
            </w:r>
            <w:r w:rsidRPr="00C7341C">
              <w:rPr>
                <w:color w:val="000000"/>
              </w:rPr>
              <w:t>on-</w:t>
            </w:r>
            <w:r>
              <w:rPr>
                <w:rFonts w:hint="eastAsia"/>
                <w:color w:val="000000"/>
              </w:rPr>
              <w:t>ticketed</w:t>
            </w:r>
            <w:r w:rsidRPr="00C7341C">
              <w:rPr>
                <w:color w:val="000000"/>
              </w:rPr>
              <w:t xml:space="preserve"> performances </w:t>
            </w:r>
            <w:r>
              <w:rPr>
                <w:rFonts w:hint="eastAsia"/>
                <w:color w:val="000000"/>
              </w:rPr>
              <w:t>hosted by t</w:t>
            </w:r>
            <w:r w:rsidRPr="00BA3957">
              <w:rPr>
                <w:color w:val="000000"/>
              </w:rPr>
              <w:t>he Government</w:t>
            </w:r>
            <w:r w:rsidR="00B41ACE">
              <w:rPr>
                <w:rFonts w:hint="eastAsia"/>
                <w:color w:val="000000"/>
              </w:rPr>
              <w:t>,</w:t>
            </w:r>
            <w:r w:rsidRPr="00BA3957">
              <w:rPr>
                <w:color w:val="000000"/>
              </w:rPr>
              <w:t xml:space="preserve"> its</w:t>
            </w:r>
            <w:r w:rsidRPr="00BA3957">
              <w:t xml:space="preserve"> agencies </w:t>
            </w:r>
            <w:r w:rsidRPr="00BA3957">
              <w:rPr>
                <w:color w:val="000000"/>
              </w:rPr>
              <w:t xml:space="preserve">(other than the Bureau), </w:t>
            </w:r>
            <w:proofErr w:type="gramStart"/>
            <w:r w:rsidRPr="00BA3957">
              <w:rPr>
                <w:color w:val="000000"/>
              </w:rPr>
              <w:t>schools  and</w:t>
            </w:r>
            <w:proofErr w:type="gramEnd"/>
            <w:r w:rsidRPr="00BA3957">
              <w:rPr>
                <w:color w:val="000000"/>
              </w:rPr>
              <w:t xml:space="preserve"> </w:t>
            </w:r>
            <w:r>
              <w:rPr>
                <w:rFonts w:hint="eastAsia"/>
                <w:color w:val="000000"/>
              </w:rPr>
              <w:t xml:space="preserve">registered </w:t>
            </w:r>
            <w:r w:rsidRPr="00BA3957">
              <w:rPr>
                <w:color w:val="000000"/>
              </w:rPr>
              <w:t xml:space="preserve">performance groups </w:t>
            </w:r>
            <w:r>
              <w:rPr>
                <w:rFonts w:hint="eastAsia"/>
                <w:color w:val="000000"/>
              </w:rPr>
              <w:t xml:space="preserve">of </w:t>
            </w:r>
            <w:r w:rsidRPr="00BA3957">
              <w:rPr>
                <w:color w:val="000000"/>
              </w:rPr>
              <w:t>the Ci</w:t>
            </w:r>
            <w:r w:rsidRPr="00B41ACE">
              <w:t>ty may be exempt</w:t>
            </w:r>
            <w:r w:rsidRPr="00B41ACE">
              <w:rPr>
                <w:rFonts w:hint="eastAsia"/>
              </w:rPr>
              <w:t>ed</w:t>
            </w:r>
            <w:r w:rsidRPr="00B41ACE">
              <w:t xml:space="preserve"> from rental and video-recording fees.</w:t>
            </w:r>
            <w:r w:rsidRPr="00BA3957">
              <w:rPr>
                <w:color w:val="FF0000"/>
              </w:rPr>
              <w:t xml:space="preserve"> </w:t>
            </w:r>
            <w:r>
              <w:rPr>
                <w:rFonts w:hint="eastAsia"/>
                <w:color w:val="000000"/>
              </w:rPr>
              <w:t>T</w:t>
            </w:r>
            <w:r w:rsidRPr="00BA3957">
              <w:rPr>
                <w:color w:val="000000"/>
              </w:rPr>
              <w:t xml:space="preserve">icketed performances </w:t>
            </w:r>
            <w:r>
              <w:rPr>
                <w:rFonts w:hint="eastAsia"/>
                <w:color w:val="000000"/>
              </w:rPr>
              <w:t xml:space="preserve">hosted by the parties mentioned previously </w:t>
            </w:r>
            <w:r w:rsidRPr="00BA3957">
              <w:rPr>
                <w:color w:val="000000"/>
              </w:rPr>
              <w:t xml:space="preserve">shall be charged </w:t>
            </w:r>
            <w:r w:rsidRPr="001C7159">
              <w:t>half of th</w:t>
            </w:r>
            <w:r w:rsidRPr="00BA3957">
              <w:rPr>
                <w:color w:val="000000"/>
              </w:rPr>
              <w:t xml:space="preserve">e </w:t>
            </w:r>
            <w:r>
              <w:rPr>
                <w:rFonts w:hint="eastAsia"/>
                <w:color w:val="000000"/>
              </w:rPr>
              <w:t>total</w:t>
            </w:r>
            <w:r w:rsidRPr="00BA3957">
              <w:rPr>
                <w:color w:val="000000"/>
              </w:rPr>
              <w:t xml:space="preserve"> fee</w:t>
            </w:r>
            <w:r w:rsidR="001C7159">
              <w:rPr>
                <w:rFonts w:hint="eastAsia"/>
                <w:color w:val="000000"/>
              </w:rPr>
              <w:t>s</w:t>
            </w:r>
            <w:r w:rsidRPr="00BA3957">
              <w:rPr>
                <w:color w:val="000000"/>
              </w:rPr>
              <w:t xml:space="preserve"> for </w:t>
            </w:r>
            <w:r>
              <w:rPr>
                <w:rFonts w:hint="eastAsia"/>
                <w:color w:val="000000"/>
              </w:rPr>
              <w:t>the application</w:t>
            </w:r>
            <w:r w:rsidRPr="00BA3957">
              <w:rPr>
                <w:color w:val="000000"/>
              </w:rPr>
              <w:t>. Fee reductions however shall be limited to once per year.</w:t>
            </w:r>
          </w:p>
          <w:p w:rsidR="008F3574" w:rsidRPr="001C7159" w:rsidRDefault="001C7159" w:rsidP="002F2A97">
            <w:pPr>
              <w:ind w:leftChars="413" w:left="991" w:rightChars="-39" w:right="-94"/>
              <w:jc w:val="both"/>
            </w:pPr>
            <w:r>
              <w:rPr>
                <w:rFonts w:hint="eastAsia"/>
                <w:color w:val="000000"/>
              </w:rPr>
              <w:t>All p</w:t>
            </w:r>
            <w:r w:rsidR="008F3574">
              <w:rPr>
                <w:rFonts w:hint="eastAsia"/>
                <w:color w:val="000000"/>
              </w:rPr>
              <w:t>erformances hosted by t</w:t>
            </w:r>
            <w:r w:rsidR="008F3574" w:rsidRPr="00BA3957">
              <w:rPr>
                <w:color w:val="000000"/>
              </w:rPr>
              <w:t xml:space="preserve">he Bureau may be </w:t>
            </w:r>
            <w:r w:rsidR="008F3574" w:rsidRPr="001C7159">
              <w:t xml:space="preserve">exempted </w:t>
            </w:r>
            <w:r w:rsidR="008F3574" w:rsidRPr="00BA3957">
              <w:rPr>
                <w:color w:val="000000"/>
              </w:rPr>
              <w:t xml:space="preserve">from </w:t>
            </w:r>
            <w:r w:rsidR="008F3574">
              <w:rPr>
                <w:rFonts w:hint="eastAsia"/>
                <w:color w:val="000000"/>
              </w:rPr>
              <w:t xml:space="preserve">rental </w:t>
            </w:r>
            <w:r w:rsidR="008F3574" w:rsidRPr="00BA3957">
              <w:rPr>
                <w:color w:val="000000"/>
              </w:rPr>
              <w:t xml:space="preserve">and video-recording </w:t>
            </w:r>
            <w:r w:rsidR="008F3574">
              <w:rPr>
                <w:rFonts w:hint="eastAsia"/>
                <w:color w:val="000000"/>
              </w:rPr>
              <w:t xml:space="preserve">fees. </w:t>
            </w:r>
            <w:r w:rsidR="008F3574" w:rsidRPr="001C7159">
              <w:t xml:space="preserve">The events jointly held by the Bureau and other agencies with </w:t>
            </w:r>
            <w:r w:rsidR="008F3574" w:rsidRPr="001C7159">
              <w:rPr>
                <w:rFonts w:hint="eastAsia"/>
              </w:rPr>
              <w:t xml:space="preserve">special </w:t>
            </w:r>
            <w:r w:rsidR="008F3574" w:rsidRPr="001C7159">
              <w:t>approv</w:t>
            </w:r>
            <w:r w:rsidR="008F3574" w:rsidRPr="001C7159">
              <w:rPr>
                <w:rFonts w:hint="eastAsia"/>
              </w:rPr>
              <w:t>al</w:t>
            </w:r>
            <w:r w:rsidR="008F3574" w:rsidRPr="001C7159">
              <w:t xml:space="preserve"> </w:t>
            </w:r>
            <w:r w:rsidR="008F3574" w:rsidRPr="001C7159">
              <w:rPr>
                <w:rFonts w:hint="eastAsia"/>
              </w:rPr>
              <w:t>shall accordingly be exempted from rental and video-recording fees</w:t>
            </w:r>
            <w:r>
              <w:rPr>
                <w:rFonts w:hint="eastAsia"/>
              </w:rPr>
              <w:t xml:space="preserve"> as well</w:t>
            </w:r>
            <w:r w:rsidR="008F3574" w:rsidRPr="001C7159">
              <w:rPr>
                <w:rFonts w:hint="eastAsia"/>
              </w:rPr>
              <w:t>.</w:t>
            </w:r>
          </w:p>
          <w:p w:rsidR="008F3574" w:rsidRPr="00BA3957" w:rsidRDefault="008F3574" w:rsidP="002F2A97">
            <w:pPr>
              <w:ind w:leftChars="413" w:left="991" w:rightChars="-39" w:right="-94"/>
              <w:jc w:val="both"/>
            </w:pPr>
          </w:p>
        </w:tc>
      </w:tr>
      <w:tr w:rsidR="008F3574" w:rsidRPr="00BA3957" w:rsidTr="002F2A97">
        <w:trPr>
          <w:trHeight w:val="535"/>
        </w:trPr>
        <w:tc>
          <w:tcPr>
            <w:tcW w:w="10740" w:type="dxa"/>
          </w:tcPr>
          <w:p w:rsidR="008F3574" w:rsidRPr="00BA3957" w:rsidRDefault="008F3574" w:rsidP="002F2A97">
            <w:pPr>
              <w:ind w:left="991" w:rightChars="-39" w:right="-94" w:hangingChars="413" w:hanging="991"/>
              <w:jc w:val="both"/>
              <w:rPr>
                <w:color w:val="000000"/>
              </w:rPr>
            </w:pPr>
            <w:r w:rsidRPr="00BA3957">
              <w:rPr>
                <w:color w:val="000000"/>
              </w:rPr>
              <w:t xml:space="preserve">Article 9 </w:t>
            </w:r>
            <w:r w:rsidRPr="00BA3957">
              <w:rPr>
                <w:color w:val="000000"/>
              </w:rPr>
              <w:tab/>
              <w:t>Conditions listed below are grounds for prohibiting usage; usage may be revoked or voided even after approval:</w:t>
            </w:r>
          </w:p>
          <w:p w:rsidR="008F3574" w:rsidRPr="00BA3957" w:rsidRDefault="008F3574" w:rsidP="002F2A97">
            <w:pPr>
              <w:numPr>
                <w:ilvl w:val="0"/>
                <w:numId w:val="1"/>
              </w:numPr>
              <w:ind w:left="1701" w:hanging="708"/>
              <w:jc w:val="both"/>
            </w:pPr>
            <w:r w:rsidRPr="00BA3957">
              <w:t>Difference between the content of the event and that indicated in the application.</w:t>
            </w:r>
          </w:p>
          <w:p w:rsidR="008F3574" w:rsidRPr="00BA3957" w:rsidRDefault="008F3574" w:rsidP="002F2A97">
            <w:pPr>
              <w:numPr>
                <w:ilvl w:val="0"/>
                <w:numId w:val="1"/>
              </w:numPr>
              <w:ind w:left="1701" w:hanging="708"/>
              <w:jc w:val="both"/>
            </w:pPr>
            <w:r w:rsidRPr="00BA3957">
              <w:t>Unauthorized transfer of venue usage to another party.</w:t>
            </w:r>
          </w:p>
          <w:p w:rsidR="008F3574" w:rsidRPr="00BA3957" w:rsidRDefault="008F3574" w:rsidP="002F2A97">
            <w:pPr>
              <w:numPr>
                <w:ilvl w:val="0"/>
                <w:numId w:val="1"/>
              </w:numPr>
              <w:ind w:left="1701" w:hanging="708"/>
              <w:jc w:val="both"/>
            </w:pPr>
            <w:r w:rsidRPr="00BA3957">
              <w:t>Any violation of government laws, regulations and policies.</w:t>
            </w:r>
          </w:p>
          <w:p w:rsidR="008F3574" w:rsidRPr="00BA3957" w:rsidRDefault="008F3574" w:rsidP="002F2A97">
            <w:pPr>
              <w:numPr>
                <w:ilvl w:val="0"/>
                <w:numId w:val="1"/>
              </w:numPr>
              <w:ind w:left="1701" w:hanging="708"/>
              <w:jc w:val="both"/>
            </w:pPr>
            <w:r w:rsidRPr="00BA3957">
              <w:t>Disruption of public order and morals.</w:t>
            </w:r>
          </w:p>
          <w:p w:rsidR="008F3574" w:rsidRPr="00BA3957" w:rsidRDefault="008F3574" w:rsidP="002F2A97">
            <w:pPr>
              <w:numPr>
                <w:ilvl w:val="0"/>
                <w:numId w:val="1"/>
              </w:numPr>
              <w:ind w:left="1701" w:hanging="708"/>
              <w:jc w:val="both"/>
            </w:pPr>
            <w:r w:rsidRPr="00BA3957">
              <w:t>Activities held by political parties and religious lectures, sermons, assemblies, or ceremonies.</w:t>
            </w:r>
          </w:p>
          <w:p w:rsidR="008F3574" w:rsidRPr="00BA3957" w:rsidRDefault="008F3574" w:rsidP="002F2A97">
            <w:pPr>
              <w:numPr>
                <w:ilvl w:val="0"/>
                <w:numId w:val="1"/>
              </w:numPr>
              <w:ind w:left="1701" w:hanging="708"/>
              <w:jc w:val="both"/>
            </w:pPr>
            <w:r w:rsidRPr="00BA3957">
              <w:t>Marketing of products not associated with the performance or performing unit</w:t>
            </w:r>
            <w:r>
              <w:rPr>
                <w:rFonts w:hint="eastAsia"/>
              </w:rPr>
              <w:t>s</w:t>
            </w:r>
            <w:r w:rsidRPr="00BA3957">
              <w:t>.</w:t>
            </w:r>
          </w:p>
          <w:p w:rsidR="008F3574" w:rsidRPr="00BA3957" w:rsidRDefault="008F3574" w:rsidP="002F2A97">
            <w:pPr>
              <w:numPr>
                <w:ilvl w:val="0"/>
                <w:numId w:val="1"/>
              </w:numPr>
              <w:ind w:left="1701" w:hanging="708"/>
              <w:jc w:val="both"/>
            </w:pPr>
            <w:r w:rsidRPr="00BA3957">
              <w:t>Use of torches, firecrackers or any hazardous items identified as inappropriate by the Bureau.</w:t>
            </w:r>
          </w:p>
          <w:p w:rsidR="008F3574" w:rsidRPr="00BA3957" w:rsidRDefault="008F3574" w:rsidP="002F2A97">
            <w:pPr>
              <w:numPr>
                <w:ilvl w:val="0"/>
                <w:numId w:val="1"/>
              </w:numPr>
              <w:ind w:left="1701" w:hanging="708"/>
              <w:jc w:val="both"/>
            </w:pPr>
            <w:r w:rsidRPr="00BA3957">
              <w:t xml:space="preserve">Damage or possible damage to the building or equipment that has been identified by </w:t>
            </w:r>
            <w:r w:rsidRPr="00BA3957">
              <w:rPr>
                <w:color w:val="000000"/>
              </w:rPr>
              <w:t>the</w:t>
            </w:r>
            <w:r w:rsidRPr="00BA3957">
              <w:rPr>
                <w:strike/>
                <w:color w:val="FF0000"/>
              </w:rPr>
              <w:t xml:space="preserve"> </w:t>
            </w:r>
            <w:r w:rsidRPr="00BA3957">
              <w:rPr>
                <w:color w:val="000000"/>
              </w:rPr>
              <w:t>Bureau</w:t>
            </w:r>
            <w:r w:rsidRPr="00BA3957">
              <w:t xml:space="preserve"> to be inappropriate for use or continued usage of the venue.</w:t>
            </w:r>
          </w:p>
          <w:p w:rsidR="008F3574" w:rsidRPr="00BA3957" w:rsidRDefault="008F3574" w:rsidP="002F2A97">
            <w:pPr>
              <w:jc w:val="both"/>
            </w:pPr>
          </w:p>
        </w:tc>
      </w:tr>
      <w:tr w:rsidR="008F3574" w:rsidRPr="00BA3957" w:rsidTr="002F2A97">
        <w:trPr>
          <w:trHeight w:val="535"/>
        </w:trPr>
        <w:tc>
          <w:tcPr>
            <w:tcW w:w="10740" w:type="dxa"/>
          </w:tcPr>
          <w:p w:rsidR="008F3574" w:rsidRPr="001C7159" w:rsidRDefault="008F3574" w:rsidP="002F2A97">
            <w:pPr>
              <w:ind w:left="1049" w:rightChars="-39" w:right="-94" w:hangingChars="437" w:hanging="1049"/>
              <w:jc w:val="both"/>
            </w:pPr>
            <w:r w:rsidRPr="001C7159">
              <w:t>Article 10</w:t>
            </w:r>
            <w:r w:rsidRPr="001C7159">
              <w:rPr>
                <w:rFonts w:hint="eastAsia"/>
              </w:rPr>
              <w:t xml:space="preserve"> </w:t>
            </w:r>
            <w:r w:rsidRPr="001C7159">
              <w:t>Users shall utilize the venue and equipment of the Hall with due care and prudence, and adhere to all guidelines provided</w:t>
            </w:r>
            <w:r w:rsidRPr="001C7159">
              <w:rPr>
                <w:rFonts w:hint="eastAsia"/>
              </w:rPr>
              <w:t>.</w:t>
            </w:r>
            <w:r w:rsidRPr="001C7159">
              <w:t xml:space="preserve"> </w:t>
            </w:r>
            <w:r w:rsidRPr="001C7159">
              <w:rPr>
                <w:rFonts w:hint="eastAsia"/>
              </w:rPr>
              <w:t>I</w:t>
            </w:r>
            <w:r w:rsidRPr="001C7159">
              <w:t>f damage or losses are incurred, users shall be liable for restoration or compensating the damage.</w:t>
            </w:r>
          </w:p>
          <w:p w:rsidR="008F3574" w:rsidRPr="001C7159" w:rsidRDefault="008F3574" w:rsidP="002F2A97">
            <w:pPr>
              <w:ind w:left="991" w:rightChars="-39" w:right="-94" w:hangingChars="413" w:hanging="991"/>
              <w:jc w:val="both"/>
            </w:pPr>
          </w:p>
        </w:tc>
      </w:tr>
      <w:tr w:rsidR="008F3574" w:rsidRPr="00BA3957" w:rsidTr="002F2A97">
        <w:trPr>
          <w:trHeight w:val="354"/>
        </w:trPr>
        <w:tc>
          <w:tcPr>
            <w:tcW w:w="10740" w:type="dxa"/>
          </w:tcPr>
          <w:p w:rsidR="008F3574" w:rsidRPr="001C7159" w:rsidRDefault="008F3574" w:rsidP="002F2A97">
            <w:pPr>
              <w:ind w:left="1092" w:rightChars="-39" w:right="-94" w:hangingChars="455" w:hanging="1092"/>
              <w:jc w:val="both"/>
            </w:pPr>
            <w:r w:rsidRPr="001C7159">
              <w:t>Article 11</w:t>
            </w:r>
            <w:r w:rsidRPr="001C7159">
              <w:rPr>
                <w:rFonts w:hint="eastAsia"/>
              </w:rPr>
              <w:t xml:space="preserve"> </w:t>
            </w:r>
            <w:r w:rsidRPr="001C7159">
              <w:t>Please refer to the attached table for the fee standards for various usages as specified in these Regulations.</w:t>
            </w:r>
          </w:p>
          <w:p w:rsidR="008F3574" w:rsidRPr="001C7159" w:rsidRDefault="008F3574" w:rsidP="002F2A97">
            <w:pPr>
              <w:ind w:left="991" w:rightChars="-39" w:right="-94" w:hangingChars="413" w:hanging="991"/>
              <w:jc w:val="both"/>
            </w:pPr>
          </w:p>
        </w:tc>
      </w:tr>
      <w:tr w:rsidR="008F3574" w:rsidRPr="00BA3957" w:rsidTr="002F2A97">
        <w:trPr>
          <w:trHeight w:val="381"/>
        </w:trPr>
        <w:tc>
          <w:tcPr>
            <w:tcW w:w="10740" w:type="dxa"/>
          </w:tcPr>
          <w:p w:rsidR="008F3574" w:rsidRPr="001C7159" w:rsidRDefault="008F3574" w:rsidP="002F2A97">
            <w:pPr>
              <w:ind w:left="1133" w:rightChars="-39" w:right="-94" w:hangingChars="472" w:hanging="1133"/>
              <w:jc w:val="both"/>
            </w:pPr>
            <w:r w:rsidRPr="001C7159">
              <w:t>Article 12 The formats of the documents required by these Regulations shall be additionally prescribed by the</w:t>
            </w:r>
            <w:r w:rsidRPr="001C7159">
              <w:rPr>
                <w:strike/>
              </w:rPr>
              <w:t xml:space="preserve"> </w:t>
            </w:r>
            <w:r w:rsidRPr="001C7159">
              <w:t>Bureau.</w:t>
            </w:r>
          </w:p>
          <w:p w:rsidR="008F3574" w:rsidRPr="001C7159" w:rsidRDefault="008F3574" w:rsidP="002F2A97">
            <w:pPr>
              <w:ind w:left="991" w:rightChars="-39" w:right="-94" w:hangingChars="413" w:hanging="991"/>
              <w:jc w:val="both"/>
            </w:pPr>
          </w:p>
        </w:tc>
      </w:tr>
    </w:tbl>
    <w:p w:rsidR="001C7159" w:rsidRDefault="002F2A97" w:rsidP="008F3574">
      <w:pPr>
        <w:widowControl/>
        <w:rPr>
          <w:b/>
        </w:rPr>
      </w:pPr>
      <w:r>
        <w:rPr>
          <w:b/>
        </w:rPr>
        <w:br w:type="textWrapping" w:clear="all"/>
      </w:r>
    </w:p>
    <w:p w:rsidR="008F3574" w:rsidRPr="00EF5F52" w:rsidRDefault="008F3574" w:rsidP="008F3574">
      <w:pPr>
        <w:widowControl/>
      </w:pPr>
      <w:r w:rsidRPr="00372148">
        <w:rPr>
          <w:b/>
        </w:rPr>
        <w:t>Attach</w:t>
      </w:r>
      <w:r>
        <w:rPr>
          <w:rFonts w:hint="eastAsia"/>
          <w:b/>
        </w:rPr>
        <w:t>ment</w:t>
      </w:r>
    </w:p>
    <w:p w:rsidR="008F3574" w:rsidRDefault="008F3574" w:rsidP="008F3574">
      <w:pPr>
        <w:jc w:val="center"/>
        <w:rPr>
          <w:b/>
          <w:sz w:val="36"/>
          <w:szCs w:val="40"/>
        </w:rPr>
      </w:pPr>
      <w:r>
        <w:rPr>
          <w:rFonts w:hint="eastAsia"/>
          <w:b/>
          <w:sz w:val="36"/>
          <w:szCs w:val="40"/>
        </w:rPr>
        <w:t>Table of F</w:t>
      </w:r>
      <w:r w:rsidRPr="009D1ABE">
        <w:rPr>
          <w:b/>
          <w:sz w:val="36"/>
          <w:szCs w:val="40"/>
        </w:rPr>
        <w:t xml:space="preserve">ee </w:t>
      </w:r>
      <w:r>
        <w:rPr>
          <w:rFonts w:hint="eastAsia"/>
          <w:b/>
          <w:sz w:val="36"/>
          <w:szCs w:val="40"/>
        </w:rPr>
        <w:t>S</w:t>
      </w:r>
      <w:r w:rsidRPr="009D1ABE">
        <w:rPr>
          <w:b/>
          <w:sz w:val="36"/>
          <w:szCs w:val="40"/>
        </w:rPr>
        <w:t xml:space="preserve">tandards </w:t>
      </w:r>
      <w:r>
        <w:rPr>
          <w:rFonts w:hint="eastAsia"/>
          <w:b/>
          <w:sz w:val="36"/>
          <w:szCs w:val="40"/>
        </w:rPr>
        <w:t>of</w:t>
      </w:r>
      <w:r w:rsidRPr="009D1ABE">
        <w:rPr>
          <w:b/>
          <w:sz w:val="36"/>
          <w:szCs w:val="40"/>
        </w:rPr>
        <w:t xml:space="preserve"> </w:t>
      </w:r>
      <w:r w:rsidRPr="00372148">
        <w:rPr>
          <w:b/>
          <w:sz w:val="36"/>
          <w:szCs w:val="40"/>
        </w:rPr>
        <w:t>Taichung City Chung Shan Hall Venue Usage</w:t>
      </w:r>
    </w:p>
    <w:p w:rsidR="008F3574" w:rsidRPr="00EF5F52" w:rsidRDefault="008F3574" w:rsidP="008F3574">
      <w:pPr>
        <w:jc w:val="right"/>
        <w:rPr>
          <w:szCs w:val="40"/>
        </w:rPr>
      </w:pPr>
      <w:r>
        <w:rPr>
          <w:rFonts w:hint="eastAsia"/>
          <w:szCs w:val="40"/>
        </w:rPr>
        <w:t>Currency</w:t>
      </w:r>
      <w:r w:rsidRPr="00EF5F52">
        <w:rPr>
          <w:szCs w:val="40"/>
        </w:rPr>
        <w:t>: NTD</w:t>
      </w:r>
    </w:p>
    <w:tbl>
      <w:tblPr>
        <w:tblpPr w:leftFromText="180" w:rightFromText="180" w:vertAnchor="text" w:horzAnchor="margin" w:tblpXSpec="center" w:tblpY="168"/>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
        <w:gridCol w:w="2158"/>
        <w:gridCol w:w="2188"/>
        <w:gridCol w:w="1234"/>
        <w:gridCol w:w="206"/>
        <w:gridCol w:w="1326"/>
        <w:gridCol w:w="3248"/>
      </w:tblGrid>
      <w:tr w:rsidR="008F3574" w:rsidRPr="001C7159" w:rsidTr="00215B31">
        <w:trPr>
          <w:cantSplit/>
          <w:trHeight w:val="320"/>
        </w:trPr>
        <w:tc>
          <w:tcPr>
            <w:tcW w:w="2878" w:type="dxa"/>
            <w:gridSpan w:val="3"/>
            <w:vMerge w:val="restart"/>
            <w:vAlign w:val="center"/>
          </w:tcPr>
          <w:p w:rsidR="008F3574" w:rsidRPr="001C7159" w:rsidRDefault="008F3574" w:rsidP="00215B31">
            <w:pPr>
              <w:ind w:leftChars="-55" w:left="-132"/>
              <w:jc w:val="center"/>
            </w:pPr>
            <w:r w:rsidRPr="001C7159">
              <w:t>Type of charge</w:t>
            </w:r>
          </w:p>
        </w:tc>
        <w:tc>
          <w:tcPr>
            <w:tcW w:w="2188" w:type="dxa"/>
            <w:vMerge w:val="restart"/>
            <w:vAlign w:val="center"/>
          </w:tcPr>
          <w:p w:rsidR="008F3574" w:rsidRPr="001C7159" w:rsidRDefault="008F3574" w:rsidP="00215B31">
            <w:pPr>
              <w:jc w:val="center"/>
            </w:pPr>
            <w:r w:rsidRPr="001C7159">
              <w:t>Time slot</w:t>
            </w:r>
          </w:p>
        </w:tc>
        <w:tc>
          <w:tcPr>
            <w:tcW w:w="2766" w:type="dxa"/>
            <w:gridSpan w:val="3"/>
          </w:tcPr>
          <w:p w:rsidR="008F3574" w:rsidRPr="001C7159" w:rsidRDefault="008F3574" w:rsidP="00215B31">
            <w:pPr>
              <w:jc w:val="center"/>
            </w:pPr>
            <w:r w:rsidRPr="001C7159">
              <w:t>Amount</w:t>
            </w:r>
          </w:p>
        </w:tc>
        <w:tc>
          <w:tcPr>
            <w:tcW w:w="3248" w:type="dxa"/>
          </w:tcPr>
          <w:p w:rsidR="008F3574" w:rsidRPr="001C7159" w:rsidRDefault="008F3574" w:rsidP="00215B31">
            <w:pPr>
              <w:jc w:val="center"/>
            </w:pPr>
            <w:r w:rsidRPr="001C7159">
              <w:t>Details</w:t>
            </w:r>
          </w:p>
        </w:tc>
      </w:tr>
      <w:tr w:rsidR="008F3574" w:rsidRPr="001C7159" w:rsidTr="00215B31">
        <w:trPr>
          <w:cantSplit/>
          <w:trHeight w:val="420"/>
        </w:trPr>
        <w:tc>
          <w:tcPr>
            <w:tcW w:w="2878" w:type="dxa"/>
            <w:gridSpan w:val="3"/>
            <w:vMerge/>
          </w:tcPr>
          <w:p w:rsidR="008F3574" w:rsidRPr="001C7159" w:rsidRDefault="008F3574" w:rsidP="00215B31">
            <w:pPr>
              <w:jc w:val="center"/>
            </w:pPr>
          </w:p>
        </w:tc>
        <w:tc>
          <w:tcPr>
            <w:tcW w:w="2188" w:type="dxa"/>
            <w:vMerge/>
          </w:tcPr>
          <w:p w:rsidR="008F3574" w:rsidRPr="001C7159" w:rsidRDefault="008F3574" w:rsidP="00215B31">
            <w:pPr>
              <w:jc w:val="center"/>
            </w:pPr>
          </w:p>
        </w:tc>
        <w:tc>
          <w:tcPr>
            <w:tcW w:w="1234" w:type="dxa"/>
          </w:tcPr>
          <w:p w:rsidR="008F3574" w:rsidRPr="001C7159" w:rsidRDefault="008F3574" w:rsidP="00215B31">
            <w:pPr>
              <w:jc w:val="center"/>
            </w:pPr>
            <w:r w:rsidRPr="001C7159">
              <w:rPr>
                <w:sz w:val="22"/>
              </w:rPr>
              <w:t>Ticketed performance</w:t>
            </w:r>
          </w:p>
        </w:tc>
        <w:tc>
          <w:tcPr>
            <w:tcW w:w="1532" w:type="dxa"/>
            <w:gridSpan w:val="2"/>
          </w:tcPr>
          <w:p w:rsidR="008F3574" w:rsidRPr="001C7159" w:rsidRDefault="008F3574" w:rsidP="00215B31">
            <w:pPr>
              <w:jc w:val="center"/>
            </w:pPr>
            <w:r w:rsidRPr="001C7159">
              <w:t>-</w:t>
            </w:r>
            <w:r w:rsidRPr="001C7159">
              <w:rPr>
                <w:rFonts w:hint="eastAsia"/>
              </w:rPr>
              <w:t xml:space="preserve"> Non-ticketed</w:t>
            </w:r>
            <w:r w:rsidRPr="001C7159">
              <w:t xml:space="preserve"> performance</w:t>
            </w:r>
          </w:p>
        </w:tc>
        <w:tc>
          <w:tcPr>
            <w:tcW w:w="3248" w:type="dxa"/>
            <w:vMerge w:val="restart"/>
          </w:tcPr>
          <w:p w:rsidR="008F3574" w:rsidRPr="001C7159" w:rsidRDefault="008F3574" w:rsidP="008F3574">
            <w:pPr>
              <w:numPr>
                <w:ilvl w:val="0"/>
                <w:numId w:val="3"/>
              </w:numPr>
              <w:jc w:val="both"/>
              <w:rPr>
                <w:sz w:val="22"/>
              </w:rPr>
            </w:pPr>
            <w:r w:rsidRPr="001C7159">
              <w:rPr>
                <w:rFonts w:hint="eastAsia"/>
                <w:sz w:val="22"/>
              </w:rPr>
              <w:t xml:space="preserve">Start time of </w:t>
            </w:r>
            <w:r w:rsidRPr="001C7159">
              <w:rPr>
                <w:sz w:val="22"/>
              </w:rPr>
              <w:t>Performance</w:t>
            </w:r>
          </w:p>
          <w:p w:rsidR="008F3574" w:rsidRPr="001C7159" w:rsidRDefault="008F3574" w:rsidP="00215B31">
            <w:pPr>
              <w:ind w:firstLineChars="100" w:firstLine="220"/>
              <w:jc w:val="both"/>
              <w:rPr>
                <w:sz w:val="22"/>
              </w:rPr>
            </w:pPr>
            <w:r w:rsidRPr="001C7159">
              <w:rPr>
                <w:sz w:val="22"/>
              </w:rPr>
              <w:t>Morning:  10</w:t>
            </w:r>
            <w:r w:rsidRPr="001C7159">
              <w:rPr>
                <w:sz w:val="22"/>
              </w:rPr>
              <w:t>：</w:t>
            </w:r>
            <w:r w:rsidRPr="001C7159">
              <w:rPr>
                <w:sz w:val="22"/>
              </w:rPr>
              <w:t xml:space="preserve"> 00</w:t>
            </w:r>
          </w:p>
          <w:p w:rsidR="008F3574" w:rsidRPr="001C7159" w:rsidRDefault="008F3574" w:rsidP="00215B31">
            <w:pPr>
              <w:ind w:firstLineChars="100" w:firstLine="220"/>
              <w:jc w:val="both"/>
              <w:rPr>
                <w:sz w:val="22"/>
              </w:rPr>
            </w:pPr>
            <w:r w:rsidRPr="001C7159">
              <w:rPr>
                <w:sz w:val="22"/>
              </w:rPr>
              <w:t>Afternoon: 14</w:t>
            </w:r>
            <w:r w:rsidRPr="001C7159">
              <w:rPr>
                <w:sz w:val="22"/>
              </w:rPr>
              <w:t>：</w:t>
            </w:r>
            <w:r w:rsidRPr="001C7159">
              <w:rPr>
                <w:sz w:val="22"/>
              </w:rPr>
              <w:t xml:space="preserve"> 30</w:t>
            </w:r>
          </w:p>
          <w:p w:rsidR="008F3574" w:rsidRPr="001C7159" w:rsidRDefault="008F3574" w:rsidP="00215B31">
            <w:pPr>
              <w:ind w:firstLineChars="100" w:firstLine="220"/>
              <w:jc w:val="both"/>
              <w:rPr>
                <w:sz w:val="22"/>
              </w:rPr>
            </w:pPr>
            <w:r w:rsidRPr="001C7159">
              <w:rPr>
                <w:sz w:val="22"/>
              </w:rPr>
              <w:t>Evening:  19</w:t>
            </w:r>
            <w:r w:rsidRPr="001C7159">
              <w:rPr>
                <w:sz w:val="22"/>
              </w:rPr>
              <w:t>：</w:t>
            </w:r>
            <w:r w:rsidRPr="001C7159">
              <w:rPr>
                <w:sz w:val="22"/>
              </w:rPr>
              <w:t xml:space="preserve"> 30</w:t>
            </w:r>
          </w:p>
          <w:p w:rsidR="008F3574" w:rsidRPr="001C7159" w:rsidRDefault="008F3574" w:rsidP="001C7159">
            <w:pPr>
              <w:numPr>
                <w:ilvl w:val="0"/>
                <w:numId w:val="3"/>
              </w:numPr>
              <w:tabs>
                <w:tab w:val="left" w:pos="1209"/>
              </w:tabs>
            </w:pPr>
            <w:r w:rsidRPr="001C7159">
              <w:rPr>
                <w:rFonts w:hint="eastAsia"/>
              </w:rPr>
              <w:t>R</w:t>
            </w:r>
            <w:r w:rsidRPr="001C7159">
              <w:t xml:space="preserve">eductions are not offered </w:t>
            </w:r>
            <w:r w:rsidRPr="001C7159">
              <w:rPr>
                <w:rFonts w:hint="eastAsia"/>
              </w:rPr>
              <w:t>during auxiliary time.</w:t>
            </w:r>
            <w:r w:rsidR="001C7159" w:rsidRPr="001C7159">
              <w:rPr>
                <w:rFonts w:hint="eastAsia"/>
                <w:strike/>
              </w:rPr>
              <w:t xml:space="preserve"> </w:t>
            </w:r>
            <w:r w:rsidRPr="001C7159">
              <w:rPr>
                <w:rFonts w:hint="eastAsia"/>
              </w:rPr>
              <w:t>S</w:t>
            </w:r>
            <w:r w:rsidRPr="001C7159">
              <w:t>tage, lighting and sound operations will not be provided</w:t>
            </w:r>
            <w:r w:rsidRPr="001C7159">
              <w:rPr>
                <w:rFonts w:hint="eastAsia"/>
              </w:rPr>
              <w:t xml:space="preserve"> during auxiliary time as well</w:t>
            </w:r>
            <w:r w:rsidRPr="001C7159">
              <w:t>.</w:t>
            </w:r>
          </w:p>
        </w:tc>
      </w:tr>
      <w:tr w:rsidR="008F3574" w:rsidRPr="001C7159" w:rsidTr="00215B31">
        <w:trPr>
          <w:cantSplit/>
          <w:trHeight w:val="467"/>
        </w:trPr>
        <w:tc>
          <w:tcPr>
            <w:tcW w:w="714" w:type="dxa"/>
            <w:vMerge w:val="restart"/>
            <w:textDirection w:val="tbRlV"/>
            <w:vAlign w:val="center"/>
          </w:tcPr>
          <w:p w:rsidR="008F3574" w:rsidRPr="001C7159" w:rsidRDefault="008F3574" w:rsidP="00215B31">
            <w:pPr>
              <w:ind w:left="113" w:right="113"/>
              <w:jc w:val="center"/>
            </w:pPr>
            <w:r w:rsidRPr="001C7159">
              <w:t>Venue usage fees</w:t>
            </w:r>
          </w:p>
        </w:tc>
        <w:tc>
          <w:tcPr>
            <w:tcW w:w="2164" w:type="dxa"/>
            <w:gridSpan w:val="2"/>
            <w:vMerge w:val="restart"/>
            <w:vAlign w:val="center"/>
          </w:tcPr>
          <w:p w:rsidR="008F3574" w:rsidRPr="001C7159" w:rsidRDefault="008F3574" w:rsidP="00215B31">
            <w:pPr>
              <w:jc w:val="center"/>
            </w:pPr>
            <w:r w:rsidRPr="001C7159">
              <w:t>General time slot</w:t>
            </w:r>
          </w:p>
        </w:tc>
        <w:tc>
          <w:tcPr>
            <w:tcW w:w="2188" w:type="dxa"/>
            <w:vAlign w:val="center"/>
          </w:tcPr>
          <w:p w:rsidR="008F3574" w:rsidRPr="001C7159" w:rsidRDefault="008F3574" w:rsidP="00215B31">
            <w:pPr>
              <w:jc w:val="center"/>
            </w:pPr>
            <w:r w:rsidRPr="001C7159">
              <w:t>Morning</w:t>
            </w:r>
          </w:p>
          <w:p w:rsidR="008F3574" w:rsidRPr="001C7159" w:rsidRDefault="008F3574" w:rsidP="00215B31">
            <w:pPr>
              <w:jc w:val="center"/>
            </w:pPr>
            <w:r w:rsidRPr="001C7159">
              <w:t>(08</w:t>
            </w:r>
            <w:r w:rsidRPr="001C7159">
              <w:t>：</w:t>
            </w:r>
            <w:r w:rsidRPr="001C7159">
              <w:t xml:space="preserve"> 30</w:t>
            </w:r>
            <w:r w:rsidRPr="001C7159">
              <w:t>－</w:t>
            </w:r>
            <w:r w:rsidRPr="001C7159">
              <w:t>12</w:t>
            </w:r>
            <w:r w:rsidRPr="001C7159">
              <w:t>：</w:t>
            </w:r>
            <w:r w:rsidRPr="001C7159">
              <w:t xml:space="preserve"> 00)</w:t>
            </w:r>
          </w:p>
        </w:tc>
        <w:tc>
          <w:tcPr>
            <w:tcW w:w="1234" w:type="dxa"/>
            <w:vAlign w:val="center"/>
          </w:tcPr>
          <w:p w:rsidR="008F3574" w:rsidRPr="001C7159" w:rsidRDefault="008F3574" w:rsidP="00215B31">
            <w:pPr>
              <w:jc w:val="center"/>
            </w:pPr>
            <w:r w:rsidRPr="001C7159">
              <w:t>18,000</w:t>
            </w:r>
          </w:p>
        </w:tc>
        <w:tc>
          <w:tcPr>
            <w:tcW w:w="1532" w:type="dxa"/>
            <w:gridSpan w:val="2"/>
            <w:vAlign w:val="center"/>
          </w:tcPr>
          <w:p w:rsidR="008F3574" w:rsidRPr="001C7159" w:rsidRDefault="008F3574" w:rsidP="00215B31">
            <w:pPr>
              <w:jc w:val="center"/>
            </w:pPr>
            <w:r w:rsidRPr="001C7159">
              <w:t>9,000</w:t>
            </w:r>
          </w:p>
        </w:tc>
        <w:tc>
          <w:tcPr>
            <w:tcW w:w="3248" w:type="dxa"/>
            <w:vMerge/>
          </w:tcPr>
          <w:p w:rsidR="008F3574" w:rsidRPr="001C7159" w:rsidRDefault="008F3574" w:rsidP="00215B31"/>
        </w:tc>
      </w:tr>
      <w:tr w:rsidR="008F3574" w:rsidRPr="001C7159" w:rsidTr="00215B31">
        <w:trPr>
          <w:cantSplit/>
          <w:trHeight w:val="466"/>
        </w:trPr>
        <w:tc>
          <w:tcPr>
            <w:tcW w:w="714" w:type="dxa"/>
            <w:vMerge/>
            <w:textDirection w:val="tbRlV"/>
            <w:vAlign w:val="center"/>
          </w:tcPr>
          <w:p w:rsidR="008F3574" w:rsidRPr="001C7159" w:rsidRDefault="008F3574" w:rsidP="00215B31">
            <w:pPr>
              <w:ind w:left="113" w:right="113"/>
              <w:jc w:val="center"/>
            </w:pPr>
          </w:p>
        </w:tc>
        <w:tc>
          <w:tcPr>
            <w:tcW w:w="2164" w:type="dxa"/>
            <w:gridSpan w:val="2"/>
            <w:vMerge/>
            <w:vAlign w:val="center"/>
          </w:tcPr>
          <w:p w:rsidR="008F3574" w:rsidRPr="001C7159" w:rsidRDefault="008F3574" w:rsidP="00215B31">
            <w:pPr>
              <w:jc w:val="center"/>
            </w:pPr>
          </w:p>
        </w:tc>
        <w:tc>
          <w:tcPr>
            <w:tcW w:w="2188" w:type="dxa"/>
            <w:vAlign w:val="center"/>
          </w:tcPr>
          <w:p w:rsidR="008F3574" w:rsidRPr="001C7159" w:rsidRDefault="008F3574" w:rsidP="00215B31">
            <w:pPr>
              <w:jc w:val="center"/>
            </w:pPr>
            <w:r w:rsidRPr="001C7159">
              <w:t>Afternoon:</w:t>
            </w:r>
          </w:p>
          <w:p w:rsidR="008F3574" w:rsidRPr="001C7159" w:rsidRDefault="008F3574" w:rsidP="00215B31">
            <w:pPr>
              <w:jc w:val="center"/>
            </w:pPr>
            <w:r w:rsidRPr="001C7159">
              <w:t>(13</w:t>
            </w:r>
            <w:r w:rsidRPr="001C7159">
              <w:t>：</w:t>
            </w:r>
            <w:r w:rsidRPr="001C7159">
              <w:t xml:space="preserve"> 00</w:t>
            </w:r>
            <w:r w:rsidRPr="001C7159">
              <w:t>－</w:t>
            </w:r>
            <w:r w:rsidRPr="001C7159">
              <w:t>17</w:t>
            </w:r>
            <w:r w:rsidRPr="001C7159">
              <w:t>：</w:t>
            </w:r>
            <w:r w:rsidRPr="001C7159">
              <w:t xml:space="preserve"> 00)</w:t>
            </w:r>
          </w:p>
        </w:tc>
        <w:tc>
          <w:tcPr>
            <w:tcW w:w="1234" w:type="dxa"/>
            <w:vAlign w:val="center"/>
          </w:tcPr>
          <w:p w:rsidR="008F3574" w:rsidRPr="001C7159" w:rsidRDefault="008F3574" w:rsidP="00215B31">
            <w:pPr>
              <w:jc w:val="center"/>
            </w:pPr>
            <w:r w:rsidRPr="001C7159">
              <w:t>27,000</w:t>
            </w:r>
          </w:p>
        </w:tc>
        <w:tc>
          <w:tcPr>
            <w:tcW w:w="1532" w:type="dxa"/>
            <w:gridSpan w:val="2"/>
            <w:vAlign w:val="center"/>
          </w:tcPr>
          <w:p w:rsidR="008F3574" w:rsidRPr="001C7159" w:rsidRDefault="008F3574" w:rsidP="00215B31">
            <w:pPr>
              <w:jc w:val="center"/>
            </w:pPr>
            <w:r w:rsidRPr="001C7159">
              <w:t>13,500</w:t>
            </w:r>
          </w:p>
        </w:tc>
        <w:tc>
          <w:tcPr>
            <w:tcW w:w="3248" w:type="dxa"/>
            <w:vMerge/>
          </w:tcPr>
          <w:p w:rsidR="008F3574" w:rsidRPr="001C7159" w:rsidRDefault="008F3574" w:rsidP="00215B31"/>
        </w:tc>
      </w:tr>
      <w:tr w:rsidR="008F3574" w:rsidRPr="001C7159" w:rsidTr="00215B31">
        <w:trPr>
          <w:cantSplit/>
          <w:trHeight w:val="479"/>
        </w:trPr>
        <w:tc>
          <w:tcPr>
            <w:tcW w:w="714" w:type="dxa"/>
            <w:vMerge/>
            <w:textDirection w:val="tbRlV"/>
            <w:vAlign w:val="center"/>
          </w:tcPr>
          <w:p w:rsidR="008F3574" w:rsidRPr="001C7159" w:rsidRDefault="008F3574" w:rsidP="00215B31">
            <w:pPr>
              <w:ind w:left="113" w:right="113"/>
              <w:jc w:val="center"/>
            </w:pPr>
          </w:p>
        </w:tc>
        <w:tc>
          <w:tcPr>
            <w:tcW w:w="2164" w:type="dxa"/>
            <w:gridSpan w:val="2"/>
            <w:vMerge/>
            <w:vAlign w:val="center"/>
          </w:tcPr>
          <w:p w:rsidR="008F3574" w:rsidRPr="001C7159" w:rsidRDefault="008F3574" w:rsidP="00215B31">
            <w:pPr>
              <w:jc w:val="center"/>
            </w:pPr>
          </w:p>
        </w:tc>
        <w:tc>
          <w:tcPr>
            <w:tcW w:w="2188" w:type="dxa"/>
            <w:vAlign w:val="center"/>
          </w:tcPr>
          <w:p w:rsidR="008F3574" w:rsidRPr="001C7159" w:rsidRDefault="008F3574" w:rsidP="00215B31">
            <w:pPr>
              <w:jc w:val="center"/>
            </w:pPr>
            <w:r w:rsidRPr="001C7159">
              <w:t>Evening:</w:t>
            </w:r>
          </w:p>
          <w:p w:rsidR="008F3574" w:rsidRPr="001C7159" w:rsidRDefault="008F3574" w:rsidP="00215B31">
            <w:pPr>
              <w:jc w:val="center"/>
            </w:pPr>
            <w:r w:rsidRPr="001C7159">
              <w:t>(18</w:t>
            </w:r>
            <w:r w:rsidRPr="001C7159">
              <w:t>：</w:t>
            </w:r>
            <w:r w:rsidRPr="001C7159">
              <w:t xml:space="preserve"> 00</w:t>
            </w:r>
            <w:r w:rsidRPr="001C7159">
              <w:t>－</w:t>
            </w:r>
            <w:r w:rsidRPr="001C7159">
              <w:t>23</w:t>
            </w:r>
            <w:r w:rsidRPr="001C7159">
              <w:t>：</w:t>
            </w:r>
            <w:r w:rsidRPr="001C7159">
              <w:t xml:space="preserve"> 00)</w:t>
            </w:r>
          </w:p>
        </w:tc>
        <w:tc>
          <w:tcPr>
            <w:tcW w:w="1234" w:type="dxa"/>
            <w:vAlign w:val="center"/>
          </w:tcPr>
          <w:p w:rsidR="008F3574" w:rsidRPr="001C7159" w:rsidRDefault="008F3574" w:rsidP="00215B31">
            <w:pPr>
              <w:jc w:val="center"/>
            </w:pPr>
            <w:r w:rsidRPr="001C7159">
              <w:t>33,000</w:t>
            </w:r>
          </w:p>
        </w:tc>
        <w:tc>
          <w:tcPr>
            <w:tcW w:w="1532" w:type="dxa"/>
            <w:gridSpan w:val="2"/>
            <w:vAlign w:val="center"/>
          </w:tcPr>
          <w:p w:rsidR="008F3574" w:rsidRPr="001C7159" w:rsidRDefault="008F3574" w:rsidP="00215B31">
            <w:pPr>
              <w:jc w:val="center"/>
            </w:pPr>
            <w:r w:rsidRPr="001C7159">
              <w:t>16,500</w:t>
            </w:r>
          </w:p>
        </w:tc>
        <w:tc>
          <w:tcPr>
            <w:tcW w:w="3248" w:type="dxa"/>
            <w:vMerge/>
          </w:tcPr>
          <w:p w:rsidR="008F3574" w:rsidRPr="001C7159" w:rsidRDefault="008F3574" w:rsidP="00215B31"/>
        </w:tc>
      </w:tr>
      <w:tr w:rsidR="008F3574" w:rsidRPr="001C7159" w:rsidTr="00215B31">
        <w:trPr>
          <w:cantSplit/>
          <w:trHeight w:val="159"/>
        </w:trPr>
        <w:tc>
          <w:tcPr>
            <w:tcW w:w="714" w:type="dxa"/>
            <w:vMerge/>
            <w:textDirection w:val="tbRlV"/>
            <w:vAlign w:val="center"/>
          </w:tcPr>
          <w:p w:rsidR="008F3574" w:rsidRPr="001C7159" w:rsidRDefault="008F3574" w:rsidP="00215B31">
            <w:pPr>
              <w:ind w:left="113" w:right="113"/>
              <w:jc w:val="center"/>
            </w:pPr>
          </w:p>
        </w:tc>
        <w:tc>
          <w:tcPr>
            <w:tcW w:w="2164" w:type="dxa"/>
            <w:gridSpan w:val="2"/>
            <w:vAlign w:val="center"/>
          </w:tcPr>
          <w:p w:rsidR="008F3574" w:rsidRPr="001C7159" w:rsidRDefault="008F3574" w:rsidP="00215B31">
            <w:pPr>
              <w:jc w:val="center"/>
            </w:pPr>
            <w:r w:rsidRPr="001C7159">
              <w:t>Stage setting, stage dismantling, rehearsal and</w:t>
            </w:r>
            <w:r w:rsidRPr="001C7159">
              <w:rPr>
                <w:rFonts w:hint="eastAsia"/>
              </w:rPr>
              <w:t xml:space="preserve"> </w:t>
            </w:r>
            <w:r w:rsidRPr="001C7159">
              <w:t>preview</w:t>
            </w:r>
          </w:p>
        </w:tc>
        <w:tc>
          <w:tcPr>
            <w:tcW w:w="2188" w:type="dxa"/>
            <w:vAlign w:val="center"/>
          </w:tcPr>
          <w:p w:rsidR="008F3574" w:rsidRPr="001C7159" w:rsidRDefault="008F3574" w:rsidP="00215B31">
            <w:pPr>
              <w:jc w:val="center"/>
            </w:pPr>
            <w:r w:rsidRPr="001C7159">
              <w:t xml:space="preserve">All </w:t>
            </w:r>
            <w:r w:rsidRPr="001C7159">
              <w:rPr>
                <w:rFonts w:hint="eastAsia"/>
              </w:rPr>
              <w:t xml:space="preserve">the </w:t>
            </w:r>
            <w:r w:rsidRPr="001C7159">
              <w:t>time slots mentioned above</w:t>
            </w:r>
          </w:p>
        </w:tc>
        <w:tc>
          <w:tcPr>
            <w:tcW w:w="1234" w:type="dxa"/>
            <w:vAlign w:val="center"/>
          </w:tcPr>
          <w:p w:rsidR="008F3574" w:rsidRPr="001C7159" w:rsidRDefault="008F3574" w:rsidP="00215B31">
            <w:pPr>
              <w:jc w:val="center"/>
            </w:pPr>
            <w:r w:rsidRPr="001C7159">
              <w:t>Half price</w:t>
            </w:r>
          </w:p>
        </w:tc>
        <w:tc>
          <w:tcPr>
            <w:tcW w:w="1532" w:type="dxa"/>
            <w:gridSpan w:val="2"/>
            <w:vAlign w:val="center"/>
          </w:tcPr>
          <w:p w:rsidR="008F3574" w:rsidRPr="001C7159" w:rsidRDefault="008F3574" w:rsidP="00215B31">
            <w:pPr>
              <w:jc w:val="center"/>
            </w:pPr>
            <w:r w:rsidRPr="001C7159">
              <w:t>Half price</w:t>
            </w:r>
          </w:p>
        </w:tc>
        <w:tc>
          <w:tcPr>
            <w:tcW w:w="3248" w:type="dxa"/>
            <w:vMerge/>
          </w:tcPr>
          <w:p w:rsidR="008F3574" w:rsidRPr="001C7159" w:rsidRDefault="008F3574" w:rsidP="00215B31"/>
        </w:tc>
      </w:tr>
      <w:tr w:rsidR="008F3574" w:rsidRPr="001C7159" w:rsidTr="00215B31">
        <w:trPr>
          <w:cantSplit/>
          <w:trHeight w:val="621"/>
        </w:trPr>
        <w:tc>
          <w:tcPr>
            <w:tcW w:w="714" w:type="dxa"/>
            <w:vMerge/>
            <w:textDirection w:val="tbRlV"/>
            <w:vAlign w:val="center"/>
          </w:tcPr>
          <w:p w:rsidR="008F3574" w:rsidRPr="001C7159" w:rsidRDefault="008F3574" w:rsidP="00215B31">
            <w:pPr>
              <w:ind w:left="113" w:right="113"/>
              <w:jc w:val="center"/>
              <w:rPr>
                <w:sz w:val="16"/>
              </w:rPr>
            </w:pPr>
          </w:p>
        </w:tc>
        <w:tc>
          <w:tcPr>
            <w:tcW w:w="2164" w:type="dxa"/>
            <w:gridSpan w:val="2"/>
            <w:vAlign w:val="center"/>
          </w:tcPr>
          <w:p w:rsidR="008F3574" w:rsidRPr="001C7159" w:rsidRDefault="008F3574" w:rsidP="00215B31">
            <w:pPr>
              <w:jc w:val="center"/>
            </w:pPr>
            <w:r w:rsidRPr="001C7159">
              <w:t>Auxiliary time</w:t>
            </w:r>
          </w:p>
        </w:tc>
        <w:tc>
          <w:tcPr>
            <w:tcW w:w="2188" w:type="dxa"/>
            <w:vAlign w:val="center"/>
          </w:tcPr>
          <w:p w:rsidR="008F3574" w:rsidRPr="001C7159" w:rsidRDefault="008F3574" w:rsidP="00215B31">
            <w:pPr>
              <w:jc w:val="center"/>
            </w:pPr>
            <w:r w:rsidRPr="001C7159">
              <w:t>12</w:t>
            </w:r>
            <w:r w:rsidRPr="001C7159">
              <w:t>：</w:t>
            </w:r>
            <w:r w:rsidRPr="001C7159">
              <w:t xml:space="preserve"> 00</w:t>
            </w:r>
            <w:r w:rsidRPr="001C7159">
              <w:t>－</w:t>
            </w:r>
            <w:r w:rsidRPr="001C7159">
              <w:t>13</w:t>
            </w:r>
            <w:r w:rsidRPr="001C7159">
              <w:t>：</w:t>
            </w:r>
            <w:r w:rsidRPr="001C7159">
              <w:t xml:space="preserve"> 00</w:t>
            </w:r>
          </w:p>
          <w:p w:rsidR="008F3574" w:rsidRPr="001C7159" w:rsidRDefault="008F3574" w:rsidP="00215B31">
            <w:pPr>
              <w:jc w:val="center"/>
            </w:pPr>
            <w:r w:rsidRPr="001C7159">
              <w:t>17</w:t>
            </w:r>
            <w:r w:rsidRPr="001C7159">
              <w:t>：</w:t>
            </w:r>
            <w:r w:rsidRPr="001C7159">
              <w:t xml:space="preserve"> 00</w:t>
            </w:r>
            <w:r w:rsidRPr="001C7159">
              <w:t>－</w:t>
            </w:r>
            <w:r w:rsidRPr="001C7159">
              <w:t>18</w:t>
            </w:r>
            <w:r w:rsidRPr="001C7159">
              <w:t>：</w:t>
            </w:r>
            <w:r w:rsidRPr="001C7159">
              <w:t xml:space="preserve"> 00</w:t>
            </w:r>
          </w:p>
          <w:p w:rsidR="008F3574" w:rsidRPr="001C7159" w:rsidRDefault="008F3574" w:rsidP="00215B31">
            <w:pPr>
              <w:jc w:val="center"/>
            </w:pPr>
            <w:r w:rsidRPr="001C7159">
              <w:t>After 23</w:t>
            </w:r>
            <w:r w:rsidRPr="001C7159">
              <w:t>：</w:t>
            </w:r>
            <w:r w:rsidRPr="001C7159">
              <w:t xml:space="preserve"> 00</w:t>
            </w:r>
          </w:p>
        </w:tc>
        <w:tc>
          <w:tcPr>
            <w:tcW w:w="2766" w:type="dxa"/>
            <w:gridSpan w:val="3"/>
            <w:vAlign w:val="center"/>
          </w:tcPr>
          <w:p w:rsidR="008F3574" w:rsidRPr="001C7159" w:rsidRDefault="008F3574" w:rsidP="00215B31">
            <w:pPr>
              <w:jc w:val="center"/>
            </w:pPr>
            <w:r w:rsidRPr="001C7159">
              <w:t>NTD 3,000 (per hour)</w:t>
            </w:r>
          </w:p>
        </w:tc>
        <w:tc>
          <w:tcPr>
            <w:tcW w:w="3248" w:type="dxa"/>
            <w:vMerge/>
            <w:vAlign w:val="center"/>
          </w:tcPr>
          <w:p w:rsidR="008F3574" w:rsidRPr="001C7159" w:rsidRDefault="008F3574" w:rsidP="00215B31"/>
        </w:tc>
      </w:tr>
      <w:tr w:rsidR="008F3574" w:rsidRPr="001C7159" w:rsidTr="00215B31">
        <w:trPr>
          <w:cantSplit/>
          <w:trHeight w:val="828"/>
        </w:trPr>
        <w:tc>
          <w:tcPr>
            <w:tcW w:w="714" w:type="dxa"/>
            <w:vMerge w:val="restart"/>
            <w:textDirection w:val="tbRlV"/>
            <w:vAlign w:val="center"/>
          </w:tcPr>
          <w:p w:rsidR="008F3574" w:rsidRPr="001C7159" w:rsidRDefault="008F3574" w:rsidP="00215B31">
            <w:pPr>
              <w:pStyle w:val="a3"/>
              <w:ind w:left="113" w:right="113"/>
              <w:jc w:val="center"/>
              <w:rPr>
                <w:sz w:val="24"/>
              </w:rPr>
            </w:pPr>
            <w:r w:rsidRPr="001C7159">
              <w:rPr>
                <w:sz w:val="24"/>
              </w:rPr>
              <w:t>Video-recording fee</w:t>
            </w:r>
          </w:p>
        </w:tc>
        <w:tc>
          <w:tcPr>
            <w:tcW w:w="2164" w:type="dxa"/>
            <w:gridSpan w:val="2"/>
            <w:vAlign w:val="center"/>
          </w:tcPr>
          <w:p w:rsidR="008F3574" w:rsidRPr="001C7159" w:rsidRDefault="008F3574" w:rsidP="00215B31">
            <w:pPr>
              <w:pStyle w:val="a3"/>
              <w:jc w:val="center"/>
              <w:rPr>
                <w:sz w:val="24"/>
              </w:rPr>
            </w:pPr>
            <w:r w:rsidRPr="001C7159">
              <w:rPr>
                <w:sz w:val="24"/>
              </w:rPr>
              <w:t>General video-recording</w:t>
            </w:r>
          </w:p>
        </w:tc>
        <w:tc>
          <w:tcPr>
            <w:tcW w:w="2188" w:type="dxa"/>
            <w:vMerge w:val="restart"/>
            <w:vAlign w:val="center"/>
          </w:tcPr>
          <w:p w:rsidR="008F3574" w:rsidRPr="001C7159" w:rsidRDefault="008F3574" w:rsidP="00215B31">
            <w:pPr>
              <w:jc w:val="center"/>
            </w:pPr>
            <w:r w:rsidRPr="001C7159">
              <w:t>Per performance session</w:t>
            </w:r>
          </w:p>
        </w:tc>
        <w:tc>
          <w:tcPr>
            <w:tcW w:w="1440" w:type="dxa"/>
            <w:gridSpan w:val="2"/>
            <w:vAlign w:val="center"/>
          </w:tcPr>
          <w:p w:rsidR="008F3574" w:rsidRPr="001C7159" w:rsidRDefault="008F3574" w:rsidP="00215B31">
            <w:pPr>
              <w:jc w:val="center"/>
            </w:pPr>
            <w:r w:rsidRPr="001C7159">
              <w:t>2,000</w:t>
            </w:r>
          </w:p>
        </w:tc>
        <w:tc>
          <w:tcPr>
            <w:tcW w:w="1326" w:type="dxa"/>
            <w:vAlign w:val="center"/>
          </w:tcPr>
          <w:p w:rsidR="008F3574" w:rsidRPr="001C7159" w:rsidRDefault="008F3574" w:rsidP="00215B31">
            <w:pPr>
              <w:jc w:val="center"/>
            </w:pPr>
            <w:r w:rsidRPr="001C7159">
              <w:t>2,000</w:t>
            </w:r>
          </w:p>
        </w:tc>
        <w:tc>
          <w:tcPr>
            <w:tcW w:w="3248" w:type="dxa"/>
            <w:vMerge w:val="restart"/>
            <w:vAlign w:val="center"/>
          </w:tcPr>
          <w:p w:rsidR="001C7159" w:rsidRPr="001C7159" w:rsidRDefault="008F3574" w:rsidP="00215B31">
            <w:pPr>
              <w:spacing w:line="320" w:lineRule="exact"/>
            </w:pPr>
            <w:r w:rsidRPr="001C7159">
              <w:rPr>
                <w:rFonts w:hint="eastAsia"/>
              </w:rPr>
              <w:t>1. T</w:t>
            </w:r>
            <w:r w:rsidRPr="001C7159">
              <w:t xml:space="preserve">hree video cameras </w:t>
            </w:r>
            <w:r w:rsidRPr="001C7159">
              <w:rPr>
                <w:rFonts w:hint="eastAsia"/>
              </w:rPr>
              <w:t>in maximum is limited.</w:t>
            </w:r>
          </w:p>
          <w:p w:rsidR="008F3574" w:rsidRPr="001C7159" w:rsidRDefault="008F3574" w:rsidP="00215B31">
            <w:pPr>
              <w:spacing w:line="320" w:lineRule="exact"/>
            </w:pPr>
            <w:r w:rsidRPr="001C7159">
              <w:rPr>
                <w:rFonts w:hint="eastAsia"/>
              </w:rPr>
              <w:t xml:space="preserve">2. </w:t>
            </w:r>
            <w:r w:rsidRPr="001C7159">
              <w:t>No relevant professional equipment will be provided.</w:t>
            </w:r>
          </w:p>
        </w:tc>
      </w:tr>
      <w:tr w:rsidR="008F3574" w:rsidRPr="001C7159" w:rsidTr="00215B31">
        <w:trPr>
          <w:cantSplit/>
          <w:trHeight w:val="261"/>
        </w:trPr>
        <w:tc>
          <w:tcPr>
            <w:tcW w:w="714" w:type="dxa"/>
            <w:vMerge/>
            <w:textDirection w:val="tbRlV"/>
            <w:vAlign w:val="center"/>
          </w:tcPr>
          <w:p w:rsidR="008F3574" w:rsidRPr="001C7159" w:rsidRDefault="008F3574" w:rsidP="00215B31">
            <w:pPr>
              <w:pStyle w:val="a3"/>
              <w:ind w:left="113" w:right="113"/>
              <w:jc w:val="center"/>
            </w:pPr>
          </w:p>
        </w:tc>
        <w:tc>
          <w:tcPr>
            <w:tcW w:w="2164" w:type="dxa"/>
            <w:gridSpan w:val="2"/>
            <w:vAlign w:val="center"/>
          </w:tcPr>
          <w:p w:rsidR="008F3574" w:rsidRPr="001C7159" w:rsidRDefault="008F3574" w:rsidP="00215B31">
            <w:pPr>
              <w:pStyle w:val="a3"/>
              <w:jc w:val="center"/>
              <w:rPr>
                <w:sz w:val="24"/>
              </w:rPr>
            </w:pPr>
            <w:proofErr w:type="spellStart"/>
            <w:r w:rsidRPr="001C7159">
              <w:rPr>
                <w:sz w:val="24"/>
              </w:rPr>
              <w:t>Telerecording</w:t>
            </w:r>
            <w:proofErr w:type="spellEnd"/>
          </w:p>
        </w:tc>
        <w:tc>
          <w:tcPr>
            <w:tcW w:w="2188" w:type="dxa"/>
            <w:vMerge/>
            <w:vAlign w:val="center"/>
          </w:tcPr>
          <w:p w:rsidR="008F3574" w:rsidRPr="001C7159" w:rsidRDefault="008F3574" w:rsidP="00215B31">
            <w:pPr>
              <w:jc w:val="center"/>
            </w:pPr>
          </w:p>
        </w:tc>
        <w:tc>
          <w:tcPr>
            <w:tcW w:w="1440" w:type="dxa"/>
            <w:gridSpan w:val="2"/>
            <w:vAlign w:val="center"/>
          </w:tcPr>
          <w:p w:rsidR="008F3574" w:rsidRPr="001C7159" w:rsidRDefault="008F3574" w:rsidP="001C7159">
            <w:pPr>
              <w:jc w:val="center"/>
            </w:pPr>
            <w:r w:rsidRPr="001C7159">
              <w:t>6,000</w:t>
            </w:r>
          </w:p>
        </w:tc>
        <w:tc>
          <w:tcPr>
            <w:tcW w:w="1326" w:type="dxa"/>
            <w:vAlign w:val="center"/>
          </w:tcPr>
          <w:p w:rsidR="008F3574" w:rsidRPr="001C7159" w:rsidRDefault="008F3574" w:rsidP="001C7159">
            <w:pPr>
              <w:jc w:val="center"/>
            </w:pPr>
            <w:r w:rsidRPr="001C7159">
              <w:t>6,000</w:t>
            </w:r>
          </w:p>
        </w:tc>
        <w:tc>
          <w:tcPr>
            <w:tcW w:w="3248" w:type="dxa"/>
            <w:vMerge/>
            <w:vAlign w:val="center"/>
          </w:tcPr>
          <w:p w:rsidR="008F3574" w:rsidRPr="001C7159" w:rsidRDefault="008F3574" w:rsidP="00215B31"/>
        </w:tc>
      </w:tr>
      <w:tr w:rsidR="008F3574" w:rsidRPr="001C7159" w:rsidTr="00215B31">
        <w:trPr>
          <w:cantSplit/>
          <w:trHeight w:val="792"/>
        </w:trPr>
        <w:tc>
          <w:tcPr>
            <w:tcW w:w="714" w:type="dxa"/>
            <w:vMerge w:val="restart"/>
            <w:textDirection w:val="tbRlV"/>
            <w:vAlign w:val="center"/>
          </w:tcPr>
          <w:p w:rsidR="008F3574" w:rsidRPr="001C7159" w:rsidRDefault="008F3574" w:rsidP="00215B31">
            <w:pPr>
              <w:ind w:left="113" w:right="113"/>
              <w:jc w:val="center"/>
            </w:pPr>
            <w:r w:rsidRPr="001C7159">
              <w:t>Piano usage fee</w:t>
            </w:r>
          </w:p>
        </w:tc>
        <w:tc>
          <w:tcPr>
            <w:tcW w:w="2164" w:type="dxa"/>
            <w:gridSpan w:val="2"/>
            <w:vAlign w:val="center"/>
          </w:tcPr>
          <w:p w:rsidR="008F3574" w:rsidRPr="001C7159" w:rsidRDefault="008F3574" w:rsidP="00215B31">
            <w:pPr>
              <w:jc w:val="center"/>
            </w:pPr>
            <w:r w:rsidRPr="001C7159">
              <w:t>Yamaha piano GP1</w:t>
            </w:r>
          </w:p>
        </w:tc>
        <w:tc>
          <w:tcPr>
            <w:tcW w:w="2188" w:type="dxa"/>
            <w:vAlign w:val="center"/>
          </w:tcPr>
          <w:p w:rsidR="008F3574" w:rsidRPr="001C7159" w:rsidRDefault="008F3574" w:rsidP="00215B31">
            <w:pPr>
              <w:jc w:val="center"/>
              <w:rPr>
                <w:u w:val="single"/>
              </w:rPr>
            </w:pPr>
            <w:r w:rsidRPr="001C7159">
              <w:t>Per performance session</w:t>
            </w:r>
          </w:p>
        </w:tc>
        <w:tc>
          <w:tcPr>
            <w:tcW w:w="1440" w:type="dxa"/>
            <w:gridSpan w:val="2"/>
            <w:vAlign w:val="center"/>
          </w:tcPr>
          <w:p w:rsidR="008F3574" w:rsidRPr="001C7159" w:rsidRDefault="008F3574" w:rsidP="001C7159">
            <w:pPr>
              <w:jc w:val="center"/>
            </w:pPr>
            <w:r w:rsidRPr="001C7159">
              <w:t>Free</w:t>
            </w:r>
          </w:p>
        </w:tc>
        <w:tc>
          <w:tcPr>
            <w:tcW w:w="1326" w:type="dxa"/>
            <w:vAlign w:val="center"/>
          </w:tcPr>
          <w:p w:rsidR="008F3574" w:rsidRPr="001C7159" w:rsidRDefault="008F3574" w:rsidP="001C7159">
            <w:pPr>
              <w:jc w:val="center"/>
            </w:pPr>
            <w:r w:rsidRPr="001C7159">
              <w:t>Free</w:t>
            </w:r>
          </w:p>
        </w:tc>
        <w:tc>
          <w:tcPr>
            <w:tcW w:w="3248" w:type="dxa"/>
            <w:vMerge w:val="restart"/>
            <w:vAlign w:val="center"/>
          </w:tcPr>
          <w:p w:rsidR="008F3574" w:rsidRPr="001C7159" w:rsidRDefault="008F3574" w:rsidP="008F3574">
            <w:pPr>
              <w:numPr>
                <w:ilvl w:val="0"/>
                <w:numId w:val="4"/>
              </w:numPr>
              <w:spacing w:line="300" w:lineRule="exact"/>
              <w:jc w:val="both"/>
            </w:pPr>
            <w:r w:rsidRPr="001C7159">
              <w:t xml:space="preserve">The </w:t>
            </w:r>
            <w:r w:rsidRPr="001C7159">
              <w:rPr>
                <w:rFonts w:hint="eastAsia"/>
              </w:rPr>
              <w:t>applicants</w:t>
            </w:r>
            <w:r w:rsidRPr="001C7159">
              <w:t xml:space="preserve"> shall hire a tuning technician to take charge of tuning during the rented time slot, and shall be liable for all fees incurred (the tuning technician shall possess </w:t>
            </w:r>
            <w:r w:rsidRPr="001C7159">
              <w:rPr>
                <w:rFonts w:hint="eastAsia"/>
              </w:rPr>
              <w:t xml:space="preserve">qualified </w:t>
            </w:r>
            <w:proofErr w:type="gramStart"/>
            <w:r w:rsidRPr="001C7159">
              <w:t>certification  issued</w:t>
            </w:r>
            <w:proofErr w:type="gramEnd"/>
            <w:r w:rsidRPr="001C7159">
              <w:t xml:space="preserve"> by the Ministry of Labor). </w:t>
            </w:r>
          </w:p>
          <w:p w:rsidR="008F3574" w:rsidRPr="001C7159" w:rsidRDefault="008F3574" w:rsidP="008F3574">
            <w:pPr>
              <w:numPr>
                <w:ilvl w:val="0"/>
                <w:numId w:val="4"/>
              </w:numPr>
              <w:spacing w:line="300" w:lineRule="exact"/>
              <w:jc w:val="both"/>
            </w:pPr>
            <w:r w:rsidRPr="001C7159">
              <w:t xml:space="preserve">The </w:t>
            </w:r>
            <w:r w:rsidRPr="001C7159">
              <w:rPr>
                <w:rFonts w:hint="eastAsia"/>
              </w:rPr>
              <w:t>applicants</w:t>
            </w:r>
            <w:r w:rsidRPr="001C7159">
              <w:t xml:space="preserve"> shall hire tuning technicians designated by the original supplier for a piano under warranty.</w:t>
            </w:r>
          </w:p>
        </w:tc>
      </w:tr>
      <w:tr w:rsidR="008F3574" w:rsidRPr="001C7159" w:rsidTr="00215B31">
        <w:trPr>
          <w:cantSplit/>
          <w:trHeight w:val="706"/>
        </w:trPr>
        <w:tc>
          <w:tcPr>
            <w:tcW w:w="714" w:type="dxa"/>
            <w:vMerge/>
            <w:vAlign w:val="center"/>
          </w:tcPr>
          <w:p w:rsidR="008F3574" w:rsidRPr="001C7159" w:rsidRDefault="008F3574" w:rsidP="00215B31">
            <w:pPr>
              <w:jc w:val="center"/>
            </w:pPr>
          </w:p>
        </w:tc>
        <w:tc>
          <w:tcPr>
            <w:tcW w:w="2164" w:type="dxa"/>
            <w:gridSpan w:val="2"/>
            <w:vAlign w:val="center"/>
          </w:tcPr>
          <w:p w:rsidR="008F3574" w:rsidRPr="001C7159" w:rsidRDefault="008F3574" w:rsidP="00215B31">
            <w:pPr>
              <w:jc w:val="center"/>
            </w:pPr>
            <w:r w:rsidRPr="001C7159">
              <w:t>Shigeru Kawai</w:t>
            </w:r>
          </w:p>
          <w:p w:rsidR="008F3574" w:rsidRPr="001C7159" w:rsidRDefault="008F3574" w:rsidP="00215B31">
            <w:pPr>
              <w:jc w:val="center"/>
            </w:pPr>
            <w:r w:rsidRPr="001C7159">
              <w:t xml:space="preserve"> EX-276</w:t>
            </w:r>
          </w:p>
          <w:p w:rsidR="008F3574" w:rsidRPr="001C7159" w:rsidRDefault="008F3574" w:rsidP="00215B31">
            <w:pPr>
              <w:jc w:val="center"/>
            </w:pPr>
            <w:r w:rsidRPr="001C7159">
              <w:t>Yamaha CF-3</w:t>
            </w:r>
          </w:p>
        </w:tc>
        <w:tc>
          <w:tcPr>
            <w:tcW w:w="2188" w:type="dxa"/>
            <w:vAlign w:val="center"/>
          </w:tcPr>
          <w:p w:rsidR="008F3574" w:rsidRPr="001C7159" w:rsidRDefault="008F3574" w:rsidP="00215B31">
            <w:pPr>
              <w:jc w:val="center"/>
              <w:rPr>
                <w:u w:val="single"/>
              </w:rPr>
            </w:pPr>
            <w:r w:rsidRPr="001C7159">
              <w:t>Per performance session</w:t>
            </w:r>
          </w:p>
        </w:tc>
        <w:tc>
          <w:tcPr>
            <w:tcW w:w="1440" w:type="dxa"/>
            <w:gridSpan w:val="2"/>
            <w:vAlign w:val="center"/>
          </w:tcPr>
          <w:p w:rsidR="008F3574" w:rsidRPr="001C7159" w:rsidRDefault="008F3574" w:rsidP="001C7159">
            <w:pPr>
              <w:jc w:val="center"/>
            </w:pPr>
            <w:r w:rsidRPr="001C7159">
              <w:t>3,000</w:t>
            </w:r>
          </w:p>
        </w:tc>
        <w:tc>
          <w:tcPr>
            <w:tcW w:w="1326" w:type="dxa"/>
            <w:vAlign w:val="center"/>
          </w:tcPr>
          <w:p w:rsidR="008F3574" w:rsidRPr="001C7159" w:rsidRDefault="008F3574" w:rsidP="001C7159">
            <w:pPr>
              <w:jc w:val="center"/>
            </w:pPr>
            <w:r w:rsidRPr="001C7159">
              <w:t>3,000</w:t>
            </w:r>
          </w:p>
        </w:tc>
        <w:tc>
          <w:tcPr>
            <w:tcW w:w="3248" w:type="dxa"/>
            <w:vMerge/>
          </w:tcPr>
          <w:p w:rsidR="008F3574" w:rsidRPr="001C7159" w:rsidRDefault="008F3574" w:rsidP="00215B31"/>
        </w:tc>
      </w:tr>
      <w:tr w:rsidR="008F3574" w:rsidRPr="001C7159" w:rsidTr="00215B31">
        <w:trPr>
          <w:cantSplit/>
          <w:trHeight w:val="500"/>
        </w:trPr>
        <w:tc>
          <w:tcPr>
            <w:tcW w:w="714" w:type="dxa"/>
            <w:vMerge/>
            <w:vAlign w:val="center"/>
          </w:tcPr>
          <w:p w:rsidR="008F3574" w:rsidRPr="001C7159" w:rsidRDefault="008F3574" w:rsidP="00215B31">
            <w:pPr>
              <w:jc w:val="center"/>
            </w:pPr>
          </w:p>
        </w:tc>
        <w:tc>
          <w:tcPr>
            <w:tcW w:w="2164" w:type="dxa"/>
            <w:gridSpan w:val="2"/>
            <w:vAlign w:val="center"/>
          </w:tcPr>
          <w:p w:rsidR="008F3574" w:rsidRPr="001C7159" w:rsidRDefault="008F3574" w:rsidP="00215B31">
            <w:pPr>
              <w:jc w:val="center"/>
            </w:pPr>
            <w:r w:rsidRPr="001C7159">
              <w:t>Steinway D-274</w:t>
            </w:r>
          </w:p>
          <w:p w:rsidR="008F3574" w:rsidRPr="001C7159" w:rsidRDefault="008F3574" w:rsidP="00215B31">
            <w:pPr>
              <w:jc w:val="center"/>
            </w:pPr>
            <w:r w:rsidRPr="001C7159">
              <w:t xml:space="preserve">Imperial </w:t>
            </w:r>
            <w:proofErr w:type="spellStart"/>
            <w:r w:rsidRPr="001C7159">
              <w:t>Bösendorfer</w:t>
            </w:r>
            <w:proofErr w:type="spellEnd"/>
            <w:r w:rsidRPr="001C7159">
              <w:t xml:space="preserve"> 290</w:t>
            </w:r>
          </w:p>
          <w:p w:rsidR="008F3574" w:rsidRPr="001C7159" w:rsidRDefault="008F3574" w:rsidP="00215B31">
            <w:pPr>
              <w:jc w:val="center"/>
            </w:pPr>
            <w:proofErr w:type="spellStart"/>
            <w:r w:rsidRPr="001C7159">
              <w:t>Fazioli</w:t>
            </w:r>
            <w:proofErr w:type="spellEnd"/>
            <w:r w:rsidRPr="001C7159">
              <w:t xml:space="preserve"> F308</w:t>
            </w:r>
          </w:p>
        </w:tc>
        <w:tc>
          <w:tcPr>
            <w:tcW w:w="2188" w:type="dxa"/>
            <w:vAlign w:val="center"/>
          </w:tcPr>
          <w:p w:rsidR="008F3574" w:rsidRPr="001C7159" w:rsidRDefault="008F3574" w:rsidP="00215B31">
            <w:pPr>
              <w:jc w:val="center"/>
              <w:rPr>
                <w:u w:val="single"/>
              </w:rPr>
            </w:pPr>
            <w:r w:rsidRPr="001C7159">
              <w:t>Per performance session</w:t>
            </w:r>
          </w:p>
        </w:tc>
        <w:tc>
          <w:tcPr>
            <w:tcW w:w="1440" w:type="dxa"/>
            <w:gridSpan w:val="2"/>
            <w:vAlign w:val="center"/>
          </w:tcPr>
          <w:p w:rsidR="008F3574" w:rsidRPr="001C7159" w:rsidRDefault="008F3574" w:rsidP="001C7159">
            <w:pPr>
              <w:jc w:val="center"/>
            </w:pPr>
            <w:r w:rsidRPr="001C7159">
              <w:t>8,000</w:t>
            </w:r>
          </w:p>
        </w:tc>
        <w:tc>
          <w:tcPr>
            <w:tcW w:w="1326" w:type="dxa"/>
            <w:vAlign w:val="center"/>
          </w:tcPr>
          <w:p w:rsidR="008F3574" w:rsidRPr="001C7159" w:rsidRDefault="008F3574" w:rsidP="001C7159">
            <w:pPr>
              <w:jc w:val="center"/>
            </w:pPr>
            <w:r w:rsidRPr="001C7159">
              <w:t>8,000</w:t>
            </w:r>
          </w:p>
        </w:tc>
        <w:tc>
          <w:tcPr>
            <w:tcW w:w="3248" w:type="dxa"/>
            <w:vMerge/>
          </w:tcPr>
          <w:p w:rsidR="008F3574" w:rsidRPr="001C7159" w:rsidRDefault="008F3574" w:rsidP="00215B31"/>
        </w:tc>
      </w:tr>
      <w:tr w:rsidR="001C7159" w:rsidRPr="001C7159" w:rsidTr="00215B31">
        <w:trPr>
          <w:cantSplit/>
          <w:trHeight w:val="1134"/>
        </w:trPr>
        <w:tc>
          <w:tcPr>
            <w:tcW w:w="720" w:type="dxa"/>
            <w:gridSpan w:val="2"/>
            <w:textDirection w:val="tbRlV"/>
            <w:vAlign w:val="center"/>
          </w:tcPr>
          <w:p w:rsidR="008F3574" w:rsidRPr="001C7159" w:rsidRDefault="008F3574" w:rsidP="00215B31">
            <w:pPr>
              <w:ind w:left="113" w:right="113"/>
              <w:jc w:val="center"/>
            </w:pPr>
            <w:r w:rsidRPr="001C7159">
              <w:t>Remarks</w:t>
            </w:r>
          </w:p>
        </w:tc>
        <w:tc>
          <w:tcPr>
            <w:tcW w:w="10360" w:type="dxa"/>
            <w:gridSpan w:val="6"/>
            <w:vAlign w:val="center"/>
          </w:tcPr>
          <w:p w:rsidR="008F3574" w:rsidRPr="001C7159" w:rsidRDefault="008F3574" w:rsidP="008F3574">
            <w:pPr>
              <w:numPr>
                <w:ilvl w:val="0"/>
                <w:numId w:val="5"/>
              </w:numPr>
              <w:jc w:val="both"/>
            </w:pPr>
            <w:r w:rsidRPr="001C7159">
              <w:t xml:space="preserve">Applicants are required to confirm </w:t>
            </w:r>
            <w:r w:rsidRPr="001C7159">
              <w:rPr>
                <w:rFonts w:hint="eastAsia"/>
              </w:rPr>
              <w:t xml:space="preserve">all </w:t>
            </w:r>
            <w:r w:rsidRPr="001C7159">
              <w:t>items and time slots to the Bureau</w:t>
            </w:r>
            <w:r w:rsidRPr="001C7159">
              <w:rPr>
                <w:rFonts w:hint="eastAsia"/>
              </w:rPr>
              <w:t xml:space="preserve"> and pay </w:t>
            </w:r>
            <w:r w:rsidRPr="001C7159">
              <w:t xml:space="preserve">40% of the total fees within two months after the designated schedule announcement. </w:t>
            </w:r>
          </w:p>
          <w:p w:rsidR="008F3574" w:rsidRPr="001C7159" w:rsidRDefault="008F3574" w:rsidP="00215B31">
            <w:pPr>
              <w:ind w:left="240" w:hangingChars="100" w:hanging="240"/>
              <w:jc w:val="both"/>
            </w:pPr>
            <w:r w:rsidRPr="001C7159">
              <w:t>2.</w:t>
            </w:r>
            <w:r w:rsidRPr="001C7159">
              <w:tab/>
              <w:t>For the floor plan of relevant hardware facilities in Chung Shan Hall (Stage Plan, Lighting Circuit Diagram, Sound Equipment List, Suspension, and Seating), please visit the Taichung City Chung Shan Hall official website (http</w:t>
            </w:r>
            <w:r w:rsidRPr="001C7159">
              <w:t>：</w:t>
            </w:r>
            <w:r w:rsidRPr="001C7159">
              <w:t>//hall.culture.taichung.gov.tw) for further information.</w:t>
            </w:r>
          </w:p>
        </w:tc>
      </w:tr>
    </w:tbl>
    <w:p w:rsidR="00530849" w:rsidRPr="008F3574" w:rsidRDefault="00530849"/>
    <w:sectPr w:rsidR="00530849" w:rsidRPr="008F3574" w:rsidSect="00022E27">
      <w:pgSz w:w="11907" w:h="16839"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212"/>
    <w:multiLevelType w:val="hybridMultilevel"/>
    <w:tmpl w:val="77B02B5A"/>
    <w:lvl w:ilvl="0" w:tplc="04090013">
      <w:start w:val="1"/>
      <w:numFmt w:val="upperRoman"/>
      <w:lvlText w:val="%1."/>
      <w:lvlJc w:val="left"/>
      <w:pPr>
        <w:ind w:left="1443" w:hanging="73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162A7796"/>
    <w:multiLevelType w:val="hybridMultilevel"/>
    <w:tmpl w:val="EFE834F4"/>
    <w:lvl w:ilvl="0" w:tplc="BF42B7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4D530F"/>
    <w:multiLevelType w:val="hybridMultilevel"/>
    <w:tmpl w:val="326C9EC0"/>
    <w:lvl w:ilvl="0" w:tplc="04090013">
      <w:start w:val="1"/>
      <w:numFmt w:val="upperRoman"/>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4B51171A"/>
    <w:multiLevelType w:val="singleLevel"/>
    <w:tmpl w:val="C0589C1E"/>
    <w:lvl w:ilvl="0">
      <w:start w:val="1"/>
      <w:numFmt w:val="decimal"/>
      <w:lvlText w:val="%1."/>
      <w:lvlJc w:val="left"/>
      <w:pPr>
        <w:tabs>
          <w:tab w:val="num" w:pos="225"/>
        </w:tabs>
        <w:ind w:left="225" w:hanging="225"/>
      </w:pPr>
      <w:rPr>
        <w:rFonts w:hint="eastAsia"/>
        <w:color w:val="000000"/>
      </w:rPr>
    </w:lvl>
  </w:abstractNum>
  <w:abstractNum w:abstractNumId="4" w15:restartNumberingAfterBreak="0">
    <w:nsid w:val="5F0A4D64"/>
    <w:multiLevelType w:val="hybridMultilevel"/>
    <w:tmpl w:val="B2CA68F2"/>
    <w:lvl w:ilvl="0" w:tplc="D36A2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4"/>
    <w:rsid w:val="00022E27"/>
    <w:rsid w:val="0018791D"/>
    <w:rsid w:val="001C7159"/>
    <w:rsid w:val="002F2A97"/>
    <w:rsid w:val="003F3611"/>
    <w:rsid w:val="00411EF4"/>
    <w:rsid w:val="00530849"/>
    <w:rsid w:val="008F12DC"/>
    <w:rsid w:val="008F3574"/>
    <w:rsid w:val="00991002"/>
    <w:rsid w:val="00B00B0A"/>
    <w:rsid w:val="00B176E5"/>
    <w:rsid w:val="00B41ACE"/>
    <w:rsid w:val="00F772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107F4-E569-46F6-822A-C512D617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5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F3574"/>
    <w:pPr>
      <w:widowControl/>
      <w:spacing w:before="100" w:beforeAutospacing="1" w:after="100" w:afterAutospacing="1"/>
    </w:pPr>
    <w:rPr>
      <w:rFonts w:ascii="新細明體" w:hAnsi="新細明體" w:cs="新細明體"/>
      <w:kern w:val="0"/>
    </w:rPr>
  </w:style>
  <w:style w:type="paragraph" w:styleId="a3">
    <w:name w:val="footer"/>
    <w:basedOn w:val="a"/>
    <w:link w:val="a4"/>
    <w:rsid w:val="008F3574"/>
    <w:pPr>
      <w:tabs>
        <w:tab w:val="center" w:pos="4153"/>
        <w:tab w:val="right" w:pos="8306"/>
      </w:tabs>
      <w:snapToGrid w:val="0"/>
    </w:pPr>
    <w:rPr>
      <w:sz w:val="20"/>
      <w:szCs w:val="20"/>
    </w:rPr>
  </w:style>
  <w:style w:type="character" w:customStyle="1" w:styleId="a4">
    <w:name w:val="頁尾 字元"/>
    <w:basedOn w:val="a0"/>
    <w:link w:val="a3"/>
    <w:rsid w:val="008F357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1099</Words>
  <Characters>6267</Characters>
  <Application>Microsoft Office Word</Application>
  <DocSecurity>0</DocSecurity>
  <Lines>52</Lines>
  <Paragraphs>14</Paragraphs>
  <ScaleCrop>false</ScaleCrop>
  <Company>Hewlett-Packard Company</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汪亭汝</dc:creator>
  <cp:lastModifiedBy>USER</cp:lastModifiedBy>
  <cp:revision>6</cp:revision>
  <dcterms:created xsi:type="dcterms:W3CDTF">2018-02-11T06:51:00Z</dcterms:created>
  <dcterms:modified xsi:type="dcterms:W3CDTF">2018-02-14T00:52:00Z</dcterms:modified>
</cp:coreProperties>
</file>